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954"/>
        <w:gridCol w:w="5175"/>
        <w:gridCol w:w="166"/>
        <w:gridCol w:w="91"/>
        <w:gridCol w:w="4070"/>
      </w:tblGrid>
      <w:tr w:rsidR="00A17AE4" w14:paraId="33816968" w14:textId="77777777" w:rsidTr="707CB513">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707CB513">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707CB513">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735BA851" w:rsidR="00093CA9" w:rsidRDefault="003D48C1" w:rsidP="00093CA9">
            <w:r>
              <w:t>SSEK</w:t>
            </w:r>
          </w:p>
        </w:tc>
      </w:tr>
      <w:tr w:rsidR="00093CA9" w14:paraId="68D6C829" w14:textId="77777777" w:rsidTr="707CB513">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707CB513">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13215AA4" w:rsidR="00093CA9" w:rsidRDefault="003D48C1" w:rsidP="00093CA9">
            <w:r>
              <w:t>Indonesia</w:t>
            </w:r>
          </w:p>
        </w:tc>
      </w:tr>
      <w:tr w:rsidR="00093CA9" w:rsidRPr="00E50B13" w14:paraId="55091B20" w14:textId="77777777" w:rsidTr="707CB513">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707CB513">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3CB87174" w:rsidR="00093CA9" w:rsidRDefault="00C1474B" w:rsidP="00093CA9">
            <w:r>
              <w:t>Ministry of the Environment and Forestry ("</w:t>
            </w:r>
            <w:r w:rsidRPr="004E4F31">
              <w:rPr>
                <w:b/>
                <w:bCs/>
              </w:rPr>
              <w:t>M</w:t>
            </w:r>
            <w:r w:rsidR="004E4F31" w:rsidRPr="004E4F31">
              <w:rPr>
                <w:b/>
                <w:bCs/>
              </w:rPr>
              <w:t>O</w:t>
            </w:r>
            <w:r w:rsidRPr="004E4F31">
              <w:rPr>
                <w:b/>
                <w:bCs/>
              </w:rPr>
              <w:t>EF</w:t>
            </w:r>
            <w:r>
              <w:t>") Regulation No. 7 of 2023 on Carbon Trading Procedures for the Forestry Sector</w:t>
            </w:r>
            <w:r w:rsidR="1578DBD5">
              <w:t xml:space="preserve"> (Peraturan Menteri Lingkungan Hidup dan Kehutanan No. 7 Tahun 2023 tentang Tata Cara Perdagangan Karbon Sektor Kehutanan)</w:t>
            </w:r>
          </w:p>
        </w:tc>
      </w:tr>
      <w:tr w:rsidR="00093CA9" w14:paraId="67500B24" w14:textId="77777777" w:rsidTr="707CB513">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707CB513">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775AC982" w:rsidR="00093CA9" w:rsidRDefault="00CA0394" w:rsidP="00093CA9">
            <w:r w:rsidRPr="00CA0394">
              <w:t>https://web.archive.org/web/20250813111034/https://peraturan.bpk.go.id/Details/254282/permen-lhk-no-7-tahun-2023</w:t>
            </w:r>
          </w:p>
        </w:tc>
      </w:tr>
      <w:tr w:rsidR="00093CA9" w:rsidRPr="005A2023" w14:paraId="1EA0B43C" w14:textId="77777777" w:rsidTr="707CB513">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707CB513">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77777777" w:rsidR="00093CA9" w:rsidRDefault="00093CA9" w:rsidP="00093CA9"/>
        </w:tc>
      </w:tr>
      <w:tr w:rsidR="00093CA9" w14:paraId="401C58A8" w14:textId="77777777" w:rsidTr="707CB513">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5D77EC2C" w:rsidR="00093CA9" w:rsidRDefault="00093CA9" w:rsidP="00093CA9"/>
        </w:tc>
      </w:tr>
      <w:tr w:rsidR="00093CA9" w14:paraId="2CE0B955" w14:textId="77777777" w:rsidTr="707CB513">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707CB513">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7C157008" w:rsidR="00093CA9" w:rsidRDefault="00931681" w:rsidP="00093CA9">
            <w:r>
              <w:t>X</w:t>
            </w:r>
          </w:p>
        </w:tc>
      </w:tr>
      <w:tr w:rsidR="00093CA9" w14:paraId="6426E869" w14:textId="77777777" w:rsidTr="707CB513">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10DC82E2" w:rsidR="00093CA9" w:rsidRDefault="00093CA9" w:rsidP="00093CA9"/>
        </w:tc>
      </w:tr>
      <w:tr w:rsidR="00093CA9" w14:paraId="4C779C87" w14:textId="77777777" w:rsidTr="707CB513">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707CB513">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707CB513">
        <w:trPr>
          <w:trHeight w:val="533"/>
        </w:trPr>
        <w:tc>
          <w:tcPr>
            <w:tcW w:w="1063" w:type="dxa"/>
            <w:vAlign w:val="center"/>
          </w:tcPr>
          <w:p w14:paraId="3C6209F9" w14:textId="77777777" w:rsidR="00093CA9" w:rsidRDefault="00093CA9" w:rsidP="00093CA9"/>
        </w:tc>
        <w:tc>
          <w:tcPr>
            <w:tcW w:w="9169" w:type="dxa"/>
            <w:gridSpan w:val="4"/>
            <w:vAlign w:val="center"/>
          </w:tcPr>
          <w:p w14:paraId="18257824" w14:textId="11E91D5F" w:rsidR="00093CA9" w:rsidRDefault="00A423C9" w:rsidP="00A423C9">
            <w:pPr>
              <w:jc w:val="both"/>
            </w:pPr>
            <w:r>
              <w:t xml:space="preserve">The policy tool was intended to govern the procedures for carbon trading in the forestry sector to support the achievement of Indonesia’s nationally determined contribution under the Paris Agreement. The provisions stipulated in the policy tool serves to outline fundamental requirements and processes which must be fulfilled to ensure that carbon projects in the forestry sector produce carbon credits which are traded in a lawful manner. </w:t>
            </w:r>
          </w:p>
        </w:tc>
      </w:tr>
      <w:tr w:rsidR="00093CA9" w14:paraId="2451E529" w14:textId="77777777" w:rsidTr="707CB513">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707CB513">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3718892C" w:rsidR="00093CA9" w:rsidRDefault="00A423C9" w:rsidP="00093CA9">
            <w:r>
              <w:t>X</w:t>
            </w:r>
          </w:p>
        </w:tc>
      </w:tr>
      <w:tr w:rsidR="00093CA9" w14:paraId="3640F334" w14:textId="77777777" w:rsidTr="707CB513">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707CB513">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707CB513">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707CB513">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707CB513">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707CB513">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707CB513">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1C15BE4A" w:rsidR="00093CA9" w:rsidRDefault="00093CA9" w:rsidP="00093CA9"/>
        </w:tc>
      </w:tr>
      <w:tr w:rsidR="00093CA9" w14:paraId="5FF08B4A" w14:textId="77777777" w:rsidTr="707CB513">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707CB513">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34E69752" w:rsidR="00093CA9" w:rsidRPr="00173D7C" w:rsidRDefault="00A423C9" w:rsidP="00093CA9">
            <w:pPr>
              <w:rPr>
                <w:color w:val="000000" w:themeColor="text1"/>
              </w:rPr>
            </w:pPr>
            <w:r>
              <w:rPr>
                <w:color w:val="000000" w:themeColor="text1"/>
              </w:rPr>
              <w:t>June 15, 2023</w:t>
            </w:r>
          </w:p>
        </w:tc>
      </w:tr>
      <w:tr w:rsidR="00093CA9" w14:paraId="738B7301" w14:textId="77777777" w:rsidTr="707CB513">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707CB513">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6A7D4A80" w:rsidR="00093CA9" w:rsidRPr="00173D7C" w:rsidRDefault="00093CA9" w:rsidP="00093CA9">
            <w:pPr>
              <w:rPr>
                <w:color w:val="000000" w:themeColor="text1"/>
              </w:rPr>
            </w:pPr>
          </w:p>
        </w:tc>
      </w:tr>
      <w:tr w:rsidR="00093CA9" w14:paraId="2C2614F8" w14:textId="77777777" w:rsidTr="707CB513">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707CB513">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639FF7D3" w:rsidR="00093CA9" w:rsidRPr="00587FAE" w:rsidRDefault="00093CA9" w:rsidP="00093CA9">
            <w:pPr>
              <w:rPr>
                <w:color w:val="000000" w:themeColor="text1"/>
              </w:rPr>
            </w:pPr>
          </w:p>
        </w:tc>
      </w:tr>
      <w:tr w:rsidR="00093CA9" w14:paraId="0CA17197" w14:textId="77777777" w:rsidTr="707CB513">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707CB513">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0AF34601" w:rsidR="00093CA9" w:rsidRPr="007419BF" w:rsidRDefault="00093CA9" w:rsidP="00093CA9">
            <w:pPr>
              <w:rPr>
                <w:color w:val="000000" w:themeColor="text1"/>
              </w:rPr>
            </w:pPr>
          </w:p>
        </w:tc>
      </w:tr>
      <w:tr w:rsidR="00093CA9" w:rsidRPr="00E50B13" w14:paraId="0BDEA28A" w14:textId="77777777" w:rsidTr="707CB513">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707CB513">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72A1B68B" w:rsidR="00093CA9" w:rsidRDefault="001619BF" w:rsidP="00093CA9">
            <w:r>
              <w:t>MOEF</w:t>
            </w:r>
            <w:r w:rsidR="002C7233">
              <w:t>, now divided into the Ministry of Forestry (“</w:t>
            </w:r>
            <w:r w:rsidR="002C7233" w:rsidRPr="002C7233">
              <w:rPr>
                <w:b/>
                <w:bCs/>
              </w:rPr>
              <w:t>MOF</w:t>
            </w:r>
            <w:r w:rsidR="002C7233">
              <w:t>”) and the Ministry of Environment</w:t>
            </w:r>
            <w:r w:rsidR="00CB296A">
              <w:t xml:space="preserve"> (“</w:t>
            </w:r>
            <w:r w:rsidR="00CB296A" w:rsidRPr="00CB296A">
              <w:rPr>
                <w:b/>
                <w:bCs/>
              </w:rPr>
              <w:t>MOE</w:t>
            </w:r>
            <w:r w:rsidR="00CB296A">
              <w:t>”)</w:t>
            </w:r>
            <w:r w:rsidR="002C7233">
              <w:t>.</w:t>
            </w:r>
          </w:p>
        </w:tc>
      </w:tr>
      <w:tr w:rsidR="00093CA9" w:rsidRPr="006B7B0D" w14:paraId="5375EB04" w14:textId="77777777" w:rsidTr="707CB513">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707CB513">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4DE643C" w:rsidR="00093CA9" w:rsidRPr="006B7B0D" w:rsidRDefault="002C7233" w:rsidP="00093CA9">
            <w:r>
              <w:t>MOF</w:t>
            </w:r>
          </w:p>
        </w:tc>
      </w:tr>
      <w:tr w:rsidR="00093CA9" w:rsidRPr="006B7B0D" w14:paraId="2F387FFB" w14:textId="77777777" w:rsidTr="707CB513">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707CB513">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707CB513">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707CB513">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707CB513">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49B8D819" w:rsidR="00093CA9" w:rsidRPr="006B7B0D" w:rsidRDefault="002C7233" w:rsidP="00093CA9">
            <w:r>
              <w:t>X</w:t>
            </w:r>
          </w:p>
        </w:tc>
      </w:tr>
      <w:tr w:rsidR="00093CA9" w:rsidRPr="006B7B0D" w14:paraId="06CA77C4" w14:textId="77777777" w:rsidTr="707CB513">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707CB513">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4F05F7E9" w:rsidR="00093CA9" w:rsidRPr="006B7B0D" w:rsidRDefault="002C7233" w:rsidP="00093CA9">
            <w:r>
              <w:t>Regional</w:t>
            </w:r>
            <w:r w:rsidR="00096825">
              <w:t xml:space="preserve">/local </w:t>
            </w:r>
            <w:r>
              <w:t>government</w:t>
            </w:r>
            <w:r w:rsidR="00096825">
              <w:t xml:space="preserve"> organs</w:t>
            </w:r>
            <w:r>
              <w:t xml:space="preserve"> (i.e., Regents, mayors, head of institutions, etc)</w:t>
            </w:r>
          </w:p>
        </w:tc>
      </w:tr>
      <w:tr w:rsidR="00093CA9" w:rsidRPr="006B7B0D" w14:paraId="6AB9B869" w14:textId="77777777" w:rsidTr="707CB513">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707CB513">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707CB513">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707CB513">
        <w:trPr>
          <w:trHeight w:val="63"/>
        </w:trPr>
        <w:tc>
          <w:tcPr>
            <w:tcW w:w="1063" w:type="dxa"/>
            <w:vAlign w:val="center"/>
          </w:tcPr>
          <w:p w14:paraId="003BCF38" w14:textId="77777777" w:rsidR="00093CA9" w:rsidRPr="006B7B0D" w:rsidRDefault="00093CA9" w:rsidP="00093CA9">
            <w:r w:rsidRPr="006B7B0D">
              <w:lastRenderedPageBreak/>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6E81F594" w:rsidR="00093CA9" w:rsidRPr="006B7B0D" w:rsidRDefault="00552562" w:rsidP="00093CA9">
            <w:r>
              <w:t>X</w:t>
            </w:r>
          </w:p>
        </w:tc>
      </w:tr>
      <w:tr w:rsidR="00093CA9" w:rsidRPr="006B7B0D" w14:paraId="0C248745" w14:textId="77777777" w:rsidTr="707CB513">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707CB513">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707CB513">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707CB513">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707CB513">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707CB513">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707CB513">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707CB513">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707CB513">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707CB513">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707CB513">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707CB513">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707CB513">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707CB513">
        <w:trPr>
          <w:trHeight w:val="63"/>
        </w:trPr>
        <w:tc>
          <w:tcPr>
            <w:tcW w:w="1063" w:type="dxa"/>
            <w:vAlign w:val="center"/>
          </w:tcPr>
          <w:p w14:paraId="55F9E5AB" w14:textId="77777777" w:rsidR="00093CA9" w:rsidRPr="006B7B0D" w:rsidRDefault="00093CA9" w:rsidP="00093CA9">
            <w:r w:rsidRPr="006B7B0D">
              <w:lastRenderedPageBreak/>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707CB513">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707CB513">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707CB513">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707CB513">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707CB513">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707CB513">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707CB513">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707CB513">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707CB513">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707CB513">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1F823324" w:rsidR="002C7233" w:rsidRDefault="00096825" w:rsidP="00096825">
            <w:pPr>
              <w:jc w:val="both"/>
            </w:pPr>
            <w:r>
              <w:t xml:space="preserve">Regional/local government authorities have been observed to draft and issue regulations which govern certain requirements and procedures which apply to carbon projects conducted within their relevant jurisdiction. However, in practice, these regulations often lack clarity and still pose practical issues and legal uncertainty in its implementation despite efforts having been undertaken with other relevant government institutions. </w:t>
            </w:r>
          </w:p>
        </w:tc>
      </w:tr>
      <w:tr w:rsidR="00093CA9" w14:paraId="7C1E73C1" w14:textId="77777777" w:rsidTr="707CB513">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707CB513">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707CB513">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514FAA2B" w:rsidR="00093CA9" w:rsidRDefault="002C7233" w:rsidP="00093CA9">
            <w:r>
              <w:t>X</w:t>
            </w:r>
          </w:p>
        </w:tc>
      </w:tr>
      <w:tr w:rsidR="00093CA9" w14:paraId="0763562F" w14:textId="77777777" w:rsidTr="707CB513">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707CB513">
        <w:trPr>
          <w:trHeight w:val="1020"/>
        </w:trPr>
        <w:tc>
          <w:tcPr>
            <w:tcW w:w="1063" w:type="dxa"/>
            <w:vAlign w:val="center"/>
          </w:tcPr>
          <w:p w14:paraId="08EDF6C9" w14:textId="77777777" w:rsidR="00093CA9" w:rsidRDefault="00093CA9" w:rsidP="00093CA9"/>
        </w:tc>
        <w:tc>
          <w:tcPr>
            <w:tcW w:w="9169" w:type="dxa"/>
            <w:gridSpan w:val="4"/>
            <w:vAlign w:val="center"/>
          </w:tcPr>
          <w:p w14:paraId="2C2128DB" w14:textId="644D8AC2" w:rsidR="00093CA9" w:rsidRPr="00624890" w:rsidRDefault="00E15B22" w:rsidP="00624890">
            <w:pPr>
              <w:keepNext/>
              <w:jc w:val="both"/>
              <w:rPr>
                <w:color w:val="000000" w:themeColor="text1"/>
                <w:highlight w:val="magenta"/>
              </w:rPr>
            </w:pPr>
            <w:r>
              <w:rPr>
                <w:color w:val="000000" w:themeColor="text1"/>
              </w:rPr>
              <w:t>Pursuant to Article 21</w:t>
            </w:r>
            <w:r w:rsidR="00624890">
              <w:rPr>
                <w:color w:val="000000" w:themeColor="text1"/>
              </w:rPr>
              <w:t xml:space="preserve"> of the policy tool, </w:t>
            </w:r>
            <w:r w:rsidR="00096825" w:rsidRPr="00096825">
              <w:rPr>
                <w:color w:val="000000" w:themeColor="text1"/>
              </w:rPr>
              <w:t xml:space="preserve">Business Actors holding a forest utilization business license </w:t>
            </w:r>
            <w:r w:rsidR="00096825">
              <w:rPr>
                <w:color w:val="000000" w:themeColor="text1"/>
              </w:rPr>
              <w:t xml:space="preserve">are required to submit a monthly periodic business activity report if it engages in carbon trading activities </w:t>
            </w:r>
            <w:r w:rsidR="00096825" w:rsidRPr="00624890">
              <w:rPr>
                <w:color w:val="000000" w:themeColor="text1"/>
              </w:rPr>
              <w:t xml:space="preserve">in protected forests and production forests. Such report shall be submitted through </w:t>
            </w:r>
            <w:r w:rsidRPr="00624890">
              <w:rPr>
                <w:color w:val="000000" w:themeColor="text1"/>
              </w:rPr>
              <w:t>a national registry referred to as the Climate Change Control National Registration System (</w:t>
            </w:r>
            <w:r w:rsidRPr="00624890">
              <w:rPr>
                <w:i/>
                <w:iCs/>
                <w:color w:val="000000" w:themeColor="text1"/>
              </w:rPr>
              <w:t>Sistem Registri Nasional Pengendalian Perubahan Iklim</w:t>
            </w:r>
            <w:r w:rsidRPr="00624890">
              <w:rPr>
                <w:color w:val="000000" w:themeColor="text1"/>
              </w:rPr>
              <w:t>, “</w:t>
            </w:r>
            <w:r w:rsidRPr="00624890">
              <w:rPr>
                <w:b/>
                <w:bCs/>
                <w:color w:val="000000" w:themeColor="text1"/>
              </w:rPr>
              <w:t>SRN PPI</w:t>
            </w:r>
            <w:r w:rsidRPr="00624890">
              <w:rPr>
                <w:color w:val="000000" w:themeColor="text1"/>
              </w:rPr>
              <w:t>”).</w:t>
            </w:r>
            <w:r w:rsidR="00624890">
              <w:rPr>
                <w:color w:val="000000" w:themeColor="text1"/>
              </w:rPr>
              <w:t xml:space="preserve"> </w:t>
            </w:r>
            <w:r w:rsidR="00624890" w:rsidRPr="00624890">
              <w:rPr>
                <w:color w:val="000000" w:themeColor="text1"/>
              </w:rPr>
              <w:t>Other reporting and monitoring systems may apply subject to the issuance and implementation of other laws and regulations beyond this policy tool.</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791E4704"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9975C44"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5EBB6143"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00EC57E4"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111F82DF"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4F79DCFC" w:rsidR="00D40D24" w:rsidRDefault="00D40D2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05F4861F"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10CA00E6"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3D48C1"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3D48C1"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3D48C1"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6680E7B2" w:rsidR="00D4323A" w:rsidRPr="00CF2E7C" w:rsidRDefault="00785618" w:rsidP="00CF2E7C">
            <w:pPr>
              <w:rPr>
                <w:rFonts w:ascii="Calibri" w:hAnsi="Calibri" w:cs="Calibri"/>
              </w:rPr>
            </w:pPr>
            <w:r>
              <w:rPr>
                <w:rFonts w:ascii="Calibri" w:hAnsi="Calibri" w:cs="Calibri"/>
              </w:rPr>
              <w:t>X</w:t>
            </w: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A457924" w:rsidR="00D4323A" w:rsidRPr="00CF2E7C" w:rsidRDefault="00785618" w:rsidP="00CF2E7C">
            <w:pPr>
              <w:rPr>
                <w:rFonts w:ascii="Calibri" w:hAnsi="Calibri" w:cs="Calibri"/>
              </w:rPr>
            </w:pPr>
            <w:r>
              <w:rPr>
                <w:rFonts w:ascii="Calibri" w:hAnsi="Calibri" w:cs="Calibri"/>
              </w:rPr>
              <w:t>X</w:t>
            </w: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6CE9F5A0" w:rsidR="00D4323A" w:rsidRPr="00CF2E7C" w:rsidRDefault="00785618" w:rsidP="00CF2E7C">
            <w:pPr>
              <w:rPr>
                <w:rFonts w:ascii="Calibri" w:hAnsi="Calibri" w:cs="Calibri"/>
              </w:rPr>
            </w:pPr>
            <w:r>
              <w:rPr>
                <w:rFonts w:ascii="Calibri" w:hAnsi="Calibri" w:cs="Calibri"/>
              </w:rPr>
              <w:t>X</w:t>
            </w: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CE80A8E" w:rsidR="00D4323A" w:rsidRPr="00CF2E7C" w:rsidRDefault="00785618" w:rsidP="00CF2E7C">
            <w:pPr>
              <w:rPr>
                <w:rFonts w:ascii="Calibri" w:hAnsi="Calibri" w:cs="Calibri"/>
              </w:rPr>
            </w:pPr>
            <w:r>
              <w:rPr>
                <w:rFonts w:ascii="Calibri" w:hAnsi="Calibri" w:cs="Calibri"/>
              </w:rPr>
              <w:t>X</w:t>
            </w: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064AC158" w:rsidR="00D4323A" w:rsidRPr="00CF2E7C" w:rsidRDefault="00785618" w:rsidP="00CF2E7C">
            <w:pPr>
              <w:rPr>
                <w:rFonts w:ascii="Calibri" w:hAnsi="Calibri" w:cs="Calibri"/>
              </w:rPr>
            </w:pPr>
            <w:r>
              <w:rPr>
                <w:rFonts w:ascii="Calibri" w:hAnsi="Calibri" w:cs="Calibri"/>
              </w:rPr>
              <w:t>X</w:t>
            </w: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0E91B148" w:rsidR="00D4323A" w:rsidRPr="00CF2E7C" w:rsidRDefault="00785618" w:rsidP="00CF2E7C">
            <w:pPr>
              <w:rPr>
                <w:rFonts w:ascii="Calibri" w:hAnsi="Calibri" w:cs="Calibri"/>
              </w:rPr>
            </w:pPr>
            <w:r>
              <w:rPr>
                <w:rFonts w:ascii="Calibri" w:hAnsi="Calibri" w:cs="Calibri"/>
              </w:rPr>
              <w:t>X</w:t>
            </w: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5A771F1C" w:rsidR="00D4323A" w:rsidRPr="00CF2E7C" w:rsidRDefault="00ED6658" w:rsidP="00CF2E7C">
            <w:pPr>
              <w:rPr>
                <w:rFonts w:ascii="Calibri" w:hAnsi="Calibri" w:cs="Calibri"/>
              </w:rPr>
            </w:pPr>
            <w:r>
              <w:rPr>
                <w:rFonts w:ascii="Calibri" w:hAnsi="Calibri" w:cs="Calibri"/>
              </w:rPr>
              <w:t>X</w:t>
            </w: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1F1C93FF" w:rsidR="00D4323A" w:rsidRPr="00CF2E7C" w:rsidRDefault="00ED07DE" w:rsidP="00CF2E7C">
            <w:pPr>
              <w:rPr>
                <w:rFonts w:ascii="Calibri" w:hAnsi="Calibri" w:cs="Calibri"/>
              </w:rPr>
            </w:pPr>
            <w:r>
              <w:rPr>
                <w:rFonts w:ascii="Calibri" w:hAnsi="Calibri" w:cs="Calibri"/>
              </w:rPr>
              <w:t>X</w:t>
            </w: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606F0B97" w:rsidR="00D4323A" w:rsidRPr="00CF2E7C" w:rsidRDefault="00ED07DE" w:rsidP="00CF2E7C">
            <w:pPr>
              <w:rPr>
                <w:rFonts w:ascii="Calibri" w:hAnsi="Calibri" w:cs="Calibri"/>
              </w:rPr>
            </w:pPr>
            <w:r>
              <w:rPr>
                <w:rFonts w:ascii="Calibri" w:hAnsi="Calibri" w:cs="Calibri"/>
              </w:rPr>
              <w:t>X</w:t>
            </w: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55094A2A" w:rsidR="00D4323A" w:rsidRPr="00CF2E7C" w:rsidRDefault="00ED07DE" w:rsidP="00CF2E7C">
            <w:pPr>
              <w:rPr>
                <w:rFonts w:ascii="Calibri" w:hAnsi="Calibri" w:cs="Calibri"/>
              </w:rPr>
            </w:pPr>
            <w:r>
              <w:rPr>
                <w:rFonts w:ascii="Calibri" w:hAnsi="Calibri" w:cs="Calibri"/>
              </w:rPr>
              <w:t>X</w:t>
            </w: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184642A3" w:rsidR="00D4323A" w:rsidRPr="00CF2E7C" w:rsidRDefault="00ED6658" w:rsidP="00CF2E7C">
            <w:pPr>
              <w:rPr>
                <w:rFonts w:ascii="Calibri" w:hAnsi="Calibri" w:cs="Calibri"/>
              </w:rPr>
            </w:pPr>
            <w:r>
              <w:rPr>
                <w:rFonts w:ascii="Calibri" w:hAnsi="Calibri" w:cs="Calibri"/>
              </w:rPr>
              <w:t>X</w:t>
            </w: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DDE5254" w:rsidR="00D4323A" w:rsidRPr="00CF2E7C" w:rsidRDefault="00ED07DE" w:rsidP="00CF2E7C">
            <w:pPr>
              <w:rPr>
                <w:rFonts w:ascii="Calibri" w:hAnsi="Calibri" w:cs="Calibri"/>
              </w:rPr>
            </w:pPr>
            <w:r>
              <w:rPr>
                <w:rFonts w:ascii="Calibri" w:hAnsi="Calibri" w:cs="Calibri"/>
              </w:rPr>
              <w:t>X</w:t>
            </w: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48C6635A" w:rsidR="00D4323A" w:rsidRPr="00CF2E7C" w:rsidRDefault="00ED07DE" w:rsidP="00CF2E7C">
            <w:pPr>
              <w:rPr>
                <w:rFonts w:ascii="Calibri" w:hAnsi="Calibri" w:cs="Calibri"/>
              </w:rPr>
            </w:pPr>
            <w:r>
              <w:rPr>
                <w:rFonts w:ascii="Calibri" w:hAnsi="Calibri" w:cs="Calibri"/>
              </w:rPr>
              <w:t>X</w:t>
            </w: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39AE9364" w14:textId="77777777" w:rsidR="0099014E" w:rsidRDefault="00ED07DE" w:rsidP="00CF2E7C">
            <w:r>
              <w:t xml:space="preserve">The policy tool </w:t>
            </w:r>
            <w:r w:rsidR="0099014E">
              <w:t xml:space="preserve">also </w:t>
            </w:r>
            <w:r>
              <w:t>governs Business Actors in a broad sense, defined under Article 1(22) of the policy tool as individual persons or business entities which conduct a certain business and/or activity of a given field.</w:t>
            </w:r>
          </w:p>
          <w:p w14:paraId="2804699B" w14:textId="73EC30C1" w:rsidR="0099014E" w:rsidRPr="0099014E" w:rsidRDefault="0099014E" w:rsidP="0099014E">
            <w:pPr>
              <w:jc w:val="both"/>
            </w:pPr>
            <w:r>
              <w:t>Additionally, the policy tool also recongizes the ability of indigenous communities (m</w:t>
            </w:r>
            <w:r w:rsidRPr="0099014E">
              <w:rPr>
                <w:i/>
                <w:iCs/>
              </w:rPr>
              <w:t>asyarakat hukum adat</w:t>
            </w:r>
            <w:r>
              <w:t>) and communities owning proprietary forests to conduct carbon trading activities.</w:t>
            </w: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lastRenderedPageBreak/>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266665F2" w:rsidR="00092534" w:rsidRPr="00CF2E7C" w:rsidRDefault="00ED07DE" w:rsidP="00CF2E7C">
            <w:pPr>
              <w:rPr>
                <w:rFonts w:ascii="Calibri" w:hAnsi="Calibri" w:cs="Calibri"/>
              </w:rPr>
            </w:pPr>
            <w:r>
              <w:rPr>
                <w:rFonts w:ascii="Calibri" w:hAnsi="Calibri" w:cs="Calibri"/>
              </w:rPr>
              <w:t>X</w:t>
            </w: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2712E0A9" w:rsidR="00092534" w:rsidRPr="00CF2E7C" w:rsidRDefault="001B4E61" w:rsidP="00CF2E7C">
            <w:pPr>
              <w:rPr>
                <w:rFonts w:ascii="Calibri" w:hAnsi="Calibri" w:cs="Calibri"/>
              </w:rPr>
            </w:pPr>
            <w:r>
              <w:rPr>
                <w:rFonts w:ascii="Calibri" w:hAnsi="Calibri" w:cs="Calibri"/>
              </w:rPr>
              <w:t>X</w:t>
            </w: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1A4189B7" w:rsidR="00092534" w:rsidRPr="00CF2E7C" w:rsidRDefault="001B4E61" w:rsidP="00CF2E7C">
            <w:pPr>
              <w:rPr>
                <w:rFonts w:ascii="Calibri" w:hAnsi="Calibri" w:cs="Calibri"/>
              </w:rPr>
            </w:pPr>
            <w:r>
              <w:rPr>
                <w:rFonts w:ascii="Calibri" w:hAnsi="Calibri" w:cs="Calibri"/>
              </w:rPr>
              <w:t>X</w:t>
            </w: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5F4CEE8C" w:rsidR="00092534" w:rsidRPr="00CF2E7C" w:rsidRDefault="001B4E61" w:rsidP="00CF2E7C">
            <w:pPr>
              <w:rPr>
                <w:rFonts w:ascii="Calibri" w:hAnsi="Calibri" w:cs="Calibri"/>
              </w:rPr>
            </w:pPr>
            <w:r>
              <w:rPr>
                <w:rFonts w:ascii="Calibri" w:hAnsi="Calibri" w:cs="Calibri"/>
              </w:rPr>
              <w:t>X</w:t>
            </w: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25684C20" w:rsidR="00092534" w:rsidRPr="00CF2E7C" w:rsidRDefault="001B4E61" w:rsidP="00CF2E7C">
            <w:pPr>
              <w:rPr>
                <w:rFonts w:ascii="Calibri" w:hAnsi="Calibri" w:cs="Calibri"/>
              </w:rPr>
            </w:pPr>
            <w:r>
              <w:rPr>
                <w:rFonts w:ascii="Calibri" w:hAnsi="Calibri" w:cs="Calibri"/>
              </w:rPr>
              <w:t>X</w:t>
            </w: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2D3D243E" w:rsidR="00092534" w:rsidRPr="00CF2E7C" w:rsidRDefault="001B4E61" w:rsidP="00CF2E7C">
            <w:pPr>
              <w:rPr>
                <w:rFonts w:ascii="Calibri" w:hAnsi="Calibri" w:cs="Calibri"/>
              </w:rPr>
            </w:pPr>
            <w:r>
              <w:rPr>
                <w:rFonts w:ascii="Calibri" w:hAnsi="Calibri" w:cs="Calibri"/>
              </w:rPr>
              <w:t>X</w:t>
            </w: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1DA43658" w:rsidR="00092534" w:rsidRPr="00CF2E7C" w:rsidRDefault="001B4E61" w:rsidP="00CF2E7C">
            <w:pPr>
              <w:rPr>
                <w:rFonts w:ascii="Calibri" w:hAnsi="Calibri" w:cs="Calibri"/>
              </w:rPr>
            </w:pPr>
            <w:r>
              <w:rPr>
                <w:rFonts w:ascii="Calibri" w:hAnsi="Calibri" w:cs="Calibri"/>
              </w:rPr>
              <w:t>X</w:t>
            </w: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3FC57CF3" w:rsidR="00092534" w:rsidRPr="00CF2E7C" w:rsidRDefault="001B4E61" w:rsidP="00CF2E7C">
            <w:pPr>
              <w:rPr>
                <w:rFonts w:ascii="Calibri" w:hAnsi="Calibri" w:cs="Calibri"/>
              </w:rPr>
            </w:pPr>
            <w:r>
              <w:rPr>
                <w:rFonts w:ascii="Calibri" w:hAnsi="Calibri" w:cs="Calibri"/>
              </w:rPr>
              <w:t>X</w:t>
            </w: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16574BD9" w:rsidR="00092534" w:rsidRPr="00CF2E7C" w:rsidRDefault="001B4E61" w:rsidP="00CF2E7C">
            <w:pPr>
              <w:rPr>
                <w:rFonts w:ascii="Calibri" w:hAnsi="Calibri" w:cs="Calibri"/>
              </w:rPr>
            </w:pPr>
            <w:r>
              <w:rPr>
                <w:rFonts w:ascii="Calibri" w:hAnsi="Calibri" w:cs="Calibri"/>
              </w:rPr>
              <w:t>X</w:t>
            </w: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lastRenderedPageBreak/>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2E0587F1" w:rsidR="00092534" w:rsidRPr="00CF2E7C" w:rsidRDefault="001B4E61" w:rsidP="00CF2E7C">
            <w:pPr>
              <w:rPr>
                <w:rFonts w:ascii="Calibri" w:hAnsi="Calibri" w:cs="Calibri"/>
              </w:rPr>
            </w:pPr>
            <w:r>
              <w:rPr>
                <w:rFonts w:ascii="Calibri" w:hAnsi="Calibri" w:cs="Calibri"/>
              </w:rPr>
              <w:t>X</w:t>
            </w: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2D605606" w:rsidR="00092534" w:rsidRPr="00CF2E7C" w:rsidRDefault="001B4E61" w:rsidP="00CF2E7C">
            <w:pPr>
              <w:rPr>
                <w:rFonts w:ascii="Calibri" w:hAnsi="Calibri" w:cs="Calibri"/>
              </w:rPr>
            </w:pPr>
            <w:r>
              <w:rPr>
                <w:rFonts w:ascii="Calibri" w:hAnsi="Calibri" w:cs="Calibri"/>
              </w:rPr>
              <w:t>X</w:t>
            </w: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63D0DF85" w:rsidR="00092534" w:rsidRPr="00CF2E7C" w:rsidRDefault="001B4E61" w:rsidP="00CF2E7C">
            <w:pPr>
              <w:rPr>
                <w:rFonts w:ascii="Calibri" w:hAnsi="Calibri" w:cs="Calibri"/>
              </w:rPr>
            </w:pPr>
            <w:r>
              <w:rPr>
                <w:rFonts w:ascii="Calibri" w:hAnsi="Calibri" w:cs="Calibri"/>
              </w:rPr>
              <w:t>X</w:t>
            </w: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3EDCB6CE" w:rsidR="00092534" w:rsidRPr="00CF2E7C" w:rsidRDefault="001B4E61" w:rsidP="00CF2E7C">
            <w:pPr>
              <w:rPr>
                <w:rFonts w:ascii="Calibri" w:hAnsi="Calibri" w:cs="Calibri"/>
              </w:rPr>
            </w:pPr>
            <w:r>
              <w:rPr>
                <w:rFonts w:ascii="Calibri" w:hAnsi="Calibri" w:cs="Calibri"/>
              </w:rPr>
              <w:t>X</w:t>
            </w: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1F2739AF" w:rsidR="00092534" w:rsidRPr="00CF2E7C" w:rsidRDefault="001B4E61" w:rsidP="00CF2E7C">
            <w:pPr>
              <w:rPr>
                <w:rFonts w:ascii="Calibri" w:hAnsi="Calibri" w:cs="Calibri"/>
              </w:rPr>
            </w:pPr>
            <w:r>
              <w:rPr>
                <w:rFonts w:ascii="Calibri" w:hAnsi="Calibri" w:cs="Calibri"/>
              </w:rPr>
              <w:t>X</w:t>
            </w: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282E9C19" w:rsidR="00092534" w:rsidRPr="00CF2E7C" w:rsidRDefault="001B4E61" w:rsidP="00CF2E7C">
            <w:pPr>
              <w:rPr>
                <w:rFonts w:ascii="Calibri" w:hAnsi="Calibri" w:cs="Calibri"/>
              </w:rPr>
            </w:pPr>
            <w:r>
              <w:rPr>
                <w:rFonts w:ascii="Calibri" w:hAnsi="Calibri" w:cs="Calibri"/>
              </w:rPr>
              <w:t>X</w:t>
            </w: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364C4CE4" w:rsidR="00092534" w:rsidRPr="00CF2E7C" w:rsidRDefault="001B4E61" w:rsidP="00CF2E7C">
            <w:pPr>
              <w:rPr>
                <w:rFonts w:ascii="Calibri" w:hAnsi="Calibri" w:cs="Calibri"/>
              </w:rPr>
            </w:pPr>
            <w:r>
              <w:rPr>
                <w:rFonts w:ascii="Calibri" w:hAnsi="Calibri" w:cs="Calibri"/>
              </w:rPr>
              <w:t>X</w:t>
            </w: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47558140" w:rsidR="00092534" w:rsidRPr="00CF2E7C" w:rsidRDefault="001B4E61" w:rsidP="00CF2E7C">
            <w:pPr>
              <w:rPr>
                <w:rFonts w:ascii="Calibri" w:hAnsi="Calibri" w:cs="Calibri"/>
              </w:rPr>
            </w:pPr>
            <w:r>
              <w:rPr>
                <w:rFonts w:ascii="Calibri" w:hAnsi="Calibri" w:cs="Calibri"/>
              </w:rPr>
              <w:t>X</w:t>
            </w: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6B69725E" w:rsidR="00092534" w:rsidRPr="00CF2E7C" w:rsidRDefault="001B4E61" w:rsidP="00CF2E7C">
            <w:pPr>
              <w:rPr>
                <w:rFonts w:ascii="Calibri" w:hAnsi="Calibri" w:cs="Calibri"/>
              </w:rPr>
            </w:pPr>
            <w:r>
              <w:rPr>
                <w:rFonts w:ascii="Calibri" w:hAnsi="Calibri" w:cs="Calibri"/>
              </w:rPr>
              <w:t>X</w:t>
            </w: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1EA6431D" w:rsidR="00092534" w:rsidRPr="00CF2E7C" w:rsidRDefault="001B4E61" w:rsidP="00CF2E7C">
            <w:pPr>
              <w:rPr>
                <w:rFonts w:ascii="Calibri" w:hAnsi="Calibri" w:cs="Calibri"/>
              </w:rPr>
            </w:pPr>
            <w:r>
              <w:rPr>
                <w:rFonts w:ascii="Calibri" w:hAnsi="Calibri" w:cs="Calibri"/>
              </w:rPr>
              <w:t>X</w:t>
            </w: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67C8D528" w:rsidR="00092534" w:rsidRPr="00CF2E7C" w:rsidRDefault="001B4E61" w:rsidP="00CF2E7C">
            <w:pPr>
              <w:rPr>
                <w:rFonts w:ascii="Calibri" w:hAnsi="Calibri" w:cs="Calibri"/>
              </w:rPr>
            </w:pPr>
            <w:r>
              <w:rPr>
                <w:rFonts w:ascii="Calibri" w:hAnsi="Calibri" w:cs="Calibri"/>
              </w:rPr>
              <w:t>X</w:t>
            </w: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5F1BEC1F" w:rsidR="00092534" w:rsidRPr="00CF2E7C" w:rsidRDefault="001B4E61" w:rsidP="00CF2E7C">
            <w:pPr>
              <w:rPr>
                <w:rFonts w:ascii="Calibri" w:hAnsi="Calibri" w:cs="Calibri"/>
              </w:rPr>
            </w:pPr>
            <w:r>
              <w:rPr>
                <w:rFonts w:ascii="Calibri" w:hAnsi="Calibri" w:cs="Calibri"/>
              </w:rPr>
              <w:t>X</w:t>
            </w: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4D3E564D" w:rsidR="00092534" w:rsidRPr="00CF2E7C" w:rsidRDefault="001B4E61" w:rsidP="00CF2E7C">
            <w:pPr>
              <w:rPr>
                <w:rFonts w:ascii="Calibri" w:hAnsi="Calibri" w:cs="Calibri"/>
              </w:rPr>
            </w:pPr>
            <w:r>
              <w:rPr>
                <w:rFonts w:ascii="Calibri" w:hAnsi="Calibri" w:cs="Calibri"/>
              </w:rPr>
              <w:t>X</w:t>
            </w: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1FDF97A1" w14:textId="77777777" w:rsidR="00CB296A" w:rsidRDefault="00CB296A" w:rsidP="004F2ACF">
            <w:pPr>
              <w:jc w:val="both"/>
              <w:rPr>
                <w:rFonts w:ascii="Calibri" w:hAnsi="Calibri" w:cs="Calibri"/>
              </w:rPr>
            </w:pPr>
            <w:r>
              <w:rPr>
                <w:rFonts w:ascii="Calibri" w:hAnsi="Calibri" w:cs="Calibri"/>
              </w:rPr>
              <w:t>Yes, duties and competences vary across targeted entities. Such distinction can be summarized as the following:</w:t>
            </w:r>
          </w:p>
          <w:p w14:paraId="00CB3A4C" w14:textId="39568048" w:rsidR="004F2ACF" w:rsidRPr="004F2ACF" w:rsidRDefault="00CB296A" w:rsidP="004F2ACF">
            <w:pPr>
              <w:pStyle w:val="ListParagraph"/>
              <w:numPr>
                <w:ilvl w:val="0"/>
                <w:numId w:val="50"/>
              </w:numPr>
              <w:jc w:val="both"/>
              <w:rPr>
                <w:rFonts w:ascii="Calibri" w:hAnsi="Calibri" w:cs="Calibri"/>
              </w:rPr>
            </w:pPr>
            <w:r>
              <w:rPr>
                <w:rFonts w:ascii="Calibri" w:hAnsi="Calibri" w:cs="Calibri"/>
              </w:rPr>
              <w:t xml:space="preserve">MOF: The MOF </w:t>
            </w:r>
            <w:r w:rsidR="00362FFF">
              <w:rPr>
                <w:rFonts w:ascii="Calibri" w:hAnsi="Calibri" w:cs="Calibri"/>
              </w:rPr>
              <w:t xml:space="preserve">through the director general responsible for sustainable forest management takes charge of emissions trading and emissions offset practices in the </w:t>
            </w:r>
            <w:r w:rsidR="00362FFF">
              <w:rPr>
                <w:rFonts w:ascii="Calibri" w:hAnsi="Calibri" w:cs="Calibri"/>
              </w:rPr>
              <w:lastRenderedPageBreak/>
              <w:t>forestry sector.</w:t>
            </w:r>
            <w:r w:rsidR="00362FFF">
              <w:rPr>
                <w:rStyle w:val="FootnoteReference"/>
                <w:rFonts w:ascii="Calibri" w:hAnsi="Calibri" w:cs="Calibri"/>
              </w:rPr>
              <w:footnoteReference w:id="2"/>
            </w:r>
            <w:r w:rsidR="00362FFF">
              <w:rPr>
                <w:rFonts w:ascii="Calibri" w:hAnsi="Calibri" w:cs="Calibri"/>
              </w:rPr>
              <w:t xml:space="preserve"> As such, it is capable of stipulating </w:t>
            </w:r>
            <w:r w:rsidR="004F2ACF">
              <w:rPr>
                <w:rFonts w:ascii="Calibri" w:hAnsi="Calibri" w:cs="Calibri"/>
              </w:rPr>
              <w:t xml:space="preserve">certain policies such as </w:t>
            </w:r>
            <w:r>
              <w:rPr>
                <w:rFonts w:ascii="Calibri" w:hAnsi="Calibri" w:cs="Calibri"/>
              </w:rPr>
              <w:t>the carbon trading road map for the forestry sector</w:t>
            </w:r>
            <w:r w:rsidR="004F2ACF">
              <w:rPr>
                <w:rFonts w:ascii="Calibri" w:hAnsi="Calibri" w:cs="Calibri"/>
              </w:rPr>
              <w:t xml:space="preserve"> (which determines applicable emissions reduction buffer for carbon trading in the forestry sector)</w:t>
            </w:r>
            <w:r w:rsidR="004F2ACF">
              <w:rPr>
                <w:rStyle w:val="FootnoteReference"/>
                <w:rFonts w:ascii="Calibri" w:hAnsi="Calibri" w:cs="Calibri"/>
              </w:rPr>
              <w:footnoteReference w:id="3"/>
            </w:r>
            <w:r w:rsidR="004F2ACF">
              <w:rPr>
                <w:rFonts w:ascii="Calibri" w:hAnsi="Calibri" w:cs="Calibri"/>
              </w:rPr>
              <w:t xml:space="preserve"> and the maximum value of cross-border carbon trading activities which may be conducted.</w:t>
            </w:r>
            <w:r w:rsidR="004F2ACF">
              <w:rPr>
                <w:rStyle w:val="FootnoteReference"/>
                <w:rFonts w:ascii="Calibri" w:hAnsi="Calibri" w:cs="Calibri"/>
              </w:rPr>
              <w:footnoteReference w:id="4"/>
            </w:r>
            <w:r w:rsidR="004F2ACF">
              <w:rPr>
                <w:rFonts w:ascii="Calibri" w:hAnsi="Calibri" w:cs="Calibri"/>
              </w:rPr>
              <w:t xml:space="preserve">  </w:t>
            </w:r>
            <w:r>
              <w:rPr>
                <w:rFonts w:ascii="Calibri" w:hAnsi="Calibri" w:cs="Calibri"/>
              </w:rPr>
              <w:t xml:space="preserve"> </w:t>
            </w:r>
            <w:r w:rsidR="004F2ACF">
              <w:rPr>
                <w:rFonts w:ascii="Calibri" w:hAnsi="Calibri" w:cs="Calibri"/>
              </w:rPr>
              <w:t>Additionally, the MOF is also tasked with conducting evaluations in relation to the reports referenced in Q.17 above.</w:t>
            </w:r>
            <w:r w:rsidR="004F2ACF">
              <w:rPr>
                <w:rStyle w:val="FootnoteReference"/>
                <w:rFonts w:ascii="Calibri" w:hAnsi="Calibri" w:cs="Calibri"/>
              </w:rPr>
              <w:footnoteReference w:id="5"/>
            </w:r>
            <w:r w:rsidR="004F2ACF">
              <w:rPr>
                <w:rFonts w:ascii="Calibri" w:hAnsi="Calibri" w:cs="Calibri"/>
              </w:rPr>
              <w:t xml:space="preserve"> </w:t>
            </w:r>
          </w:p>
          <w:p w14:paraId="135FC5A8" w14:textId="77777777" w:rsidR="004F2ACF" w:rsidRDefault="004F2ACF" w:rsidP="004F2ACF">
            <w:pPr>
              <w:pStyle w:val="ListParagraph"/>
              <w:jc w:val="both"/>
              <w:rPr>
                <w:rFonts w:ascii="Calibri" w:hAnsi="Calibri" w:cs="Calibri"/>
              </w:rPr>
            </w:pPr>
          </w:p>
          <w:p w14:paraId="797FED36" w14:textId="310A70E8" w:rsidR="000628E6" w:rsidRDefault="000628E6" w:rsidP="0099014E">
            <w:pPr>
              <w:pStyle w:val="ListParagraph"/>
              <w:numPr>
                <w:ilvl w:val="0"/>
                <w:numId w:val="50"/>
              </w:numPr>
              <w:jc w:val="both"/>
              <w:rPr>
                <w:rFonts w:ascii="Calibri" w:hAnsi="Calibri" w:cs="Calibri"/>
              </w:rPr>
            </w:pPr>
            <w:r>
              <w:rPr>
                <w:rFonts w:ascii="Calibri" w:hAnsi="Calibri" w:cs="Calibri"/>
              </w:rPr>
              <w:t xml:space="preserve">Regional/local governments: </w:t>
            </w:r>
            <w:r w:rsidR="0099014E">
              <w:rPr>
                <w:rFonts w:ascii="Calibri" w:hAnsi="Calibri" w:cs="Calibri"/>
              </w:rPr>
              <w:t>Carbon trading activities conducted in (i) peatlands and mangroves outside of forestry areas, (ii) conservation forests, and (iii) state forests which do not quality as forestry areas are required to obtain the approval of regional/local governments.</w:t>
            </w:r>
            <w:r w:rsidR="0099014E">
              <w:rPr>
                <w:rStyle w:val="FootnoteReference"/>
                <w:rFonts w:ascii="Calibri" w:hAnsi="Calibri" w:cs="Calibri"/>
              </w:rPr>
              <w:footnoteReference w:id="6"/>
            </w:r>
          </w:p>
          <w:p w14:paraId="17C6D5A6" w14:textId="77777777" w:rsidR="0099014E" w:rsidRPr="0099014E" w:rsidRDefault="0099014E" w:rsidP="0099014E">
            <w:pPr>
              <w:pStyle w:val="ListParagraph"/>
              <w:rPr>
                <w:rFonts w:ascii="Calibri" w:hAnsi="Calibri" w:cs="Calibri"/>
              </w:rPr>
            </w:pPr>
          </w:p>
          <w:p w14:paraId="76931130" w14:textId="55A678B0" w:rsidR="004F2ACF" w:rsidRDefault="004F2ACF" w:rsidP="004F2ACF">
            <w:pPr>
              <w:pStyle w:val="ListParagraph"/>
              <w:numPr>
                <w:ilvl w:val="0"/>
                <w:numId w:val="50"/>
              </w:numPr>
              <w:jc w:val="both"/>
              <w:rPr>
                <w:rFonts w:ascii="Calibri" w:hAnsi="Calibri" w:cs="Calibri"/>
              </w:rPr>
            </w:pPr>
            <w:r>
              <w:rPr>
                <w:rFonts w:ascii="Calibri" w:hAnsi="Calibri" w:cs="Calibri"/>
              </w:rPr>
              <w:t>Business Actors: The generation of carbon credits and the eventual sale of such credits by Business Actors are required to comply with the requirements and procedures set out under the policy tool. Most notably, depending on the location of the carbon project, differing requirements would apply</w:t>
            </w:r>
            <w:r w:rsidR="00E90BB1">
              <w:rPr>
                <w:rFonts w:ascii="Calibri" w:hAnsi="Calibri" w:cs="Calibri"/>
              </w:rPr>
              <w:t xml:space="preserve"> in terms of the required documentation and approvals as well as the type of carbon trading activity which may be performed.</w:t>
            </w:r>
            <w:r w:rsidR="00E90BB1">
              <w:rPr>
                <w:rStyle w:val="FootnoteReference"/>
                <w:rFonts w:ascii="Calibri" w:hAnsi="Calibri" w:cs="Calibri"/>
              </w:rPr>
              <w:footnoteReference w:id="7"/>
            </w:r>
          </w:p>
          <w:p w14:paraId="2894CDCA" w14:textId="4B87D557" w:rsidR="00CB296A" w:rsidRPr="00CF2E7C" w:rsidRDefault="00CB296A" w:rsidP="00E90BB1">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lastRenderedPageBreak/>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56456658"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3F741902" w:rsidR="00092534" w:rsidRPr="00CF2E7C" w:rsidRDefault="00092534" w:rsidP="00CF2E7C">
            <w:pPr>
              <w:rPr>
                <w:rFonts w:ascii="Calibri" w:hAnsi="Calibri" w:cs="Calibri"/>
              </w:rPr>
            </w:pPr>
          </w:p>
        </w:tc>
      </w:tr>
      <w:tr w:rsidR="00092534" w:rsidRPr="003D48C1"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63F02FCD"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1066AFA8"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4E6D6DE3"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2546B66B" w14:textId="76540295" w:rsidR="00E90BB1" w:rsidRDefault="00E90BB1" w:rsidP="004A5444">
            <w:pPr>
              <w:jc w:val="both"/>
              <w:rPr>
                <w:rFonts w:ascii="Calibri" w:hAnsi="Calibri" w:cs="Calibri"/>
              </w:rPr>
            </w:pPr>
            <w:r>
              <w:rPr>
                <w:rFonts w:ascii="Calibri" w:hAnsi="Calibri" w:cs="Calibri"/>
              </w:rPr>
              <w:t>Carbon credits are derived from climate change mitigation activities recognized under Article 3(3) of the policy tool in the:</w:t>
            </w:r>
            <w:r>
              <w:rPr>
                <w:rStyle w:val="FootnoteReference"/>
                <w:rFonts w:ascii="Calibri" w:hAnsi="Calibri" w:cs="Calibri"/>
              </w:rPr>
              <w:footnoteReference w:id="8"/>
            </w:r>
            <w:r>
              <w:rPr>
                <w:rFonts w:ascii="Calibri" w:hAnsi="Calibri" w:cs="Calibri"/>
              </w:rPr>
              <w:t xml:space="preserve"> </w:t>
            </w:r>
          </w:p>
          <w:p w14:paraId="599AB958" w14:textId="67FCB6A2" w:rsidR="00092534" w:rsidRDefault="00E90BB1" w:rsidP="00E90BB1">
            <w:pPr>
              <w:pStyle w:val="ListParagraph"/>
              <w:numPr>
                <w:ilvl w:val="0"/>
                <w:numId w:val="51"/>
              </w:numPr>
              <w:jc w:val="both"/>
              <w:rPr>
                <w:rFonts w:ascii="Calibri" w:hAnsi="Calibri" w:cs="Calibri"/>
              </w:rPr>
            </w:pPr>
            <w:r>
              <w:rPr>
                <w:rFonts w:ascii="Calibri" w:hAnsi="Calibri" w:cs="Calibri"/>
              </w:rPr>
              <w:t>Forestry sector; and</w:t>
            </w:r>
          </w:p>
          <w:p w14:paraId="3B9810F8" w14:textId="07983C75" w:rsidR="00E90BB1" w:rsidRPr="00E90BB1" w:rsidRDefault="00E90BB1" w:rsidP="00E90BB1">
            <w:pPr>
              <w:pStyle w:val="ListParagraph"/>
              <w:numPr>
                <w:ilvl w:val="0"/>
                <w:numId w:val="51"/>
              </w:numPr>
              <w:jc w:val="both"/>
              <w:rPr>
                <w:rFonts w:ascii="Calibri" w:hAnsi="Calibri" w:cs="Calibri"/>
              </w:rPr>
            </w:pPr>
            <w:r>
              <w:rPr>
                <w:rFonts w:ascii="Calibri" w:hAnsi="Calibri" w:cs="Calibri"/>
              </w:rPr>
              <w:lastRenderedPageBreak/>
              <w:t>Peatland and mangrove management sector.</w:t>
            </w: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lastRenderedPageBreak/>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0B2969BE" w:rsidR="00092534" w:rsidRPr="00CF2E7C" w:rsidRDefault="00FE1A74" w:rsidP="00CF2E7C">
            <w:pPr>
              <w:rPr>
                <w:rFonts w:ascii="Calibri" w:hAnsi="Calibri" w:cs="Calibri"/>
              </w:rPr>
            </w:pPr>
            <w:r>
              <w:rPr>
                <w:rFonts w:ascii="Calibri" w:hAnsi="Calibri" w:cs="Calibri"/>
              </w:rPr>
              <w:t>X</w:t>
            </w: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4ECA6607" w:rsidR="00DB1E72" w:rsidRPr="00CF2E7C" w:rsidRDefault="00FE1A74" w:rsidP="00CF2E7C">
            <w:pPr>
              <w:rPr>
                <w:rFonts w:ascii="Calibri" w:hAnsi="Calibri" w:cs="Calibri"/>
              </w:rPr>
            </w:pPr>
            <w:r>
              <w:rPr>
                <w:rFonts w:ascii="Calibri" w:hAnsi="Calibri" w:cs="Calibri"/>
              </w:rPr>
              <w:t>X</w:t>
            </w: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0C256633" w:rsidR="00DB1E72" w:rsidRPr="00CF2E7C" w:rsidRDefault="00FE1A74" w:rsidP="00FE1A74">
            <w:pPr>
              <w:jc w:val="both"/>
              <w:rPr>
                <w:rFonts w:ascii="Calibri" w:hAnsi="Calibri" w:cs="Calibri"/>
              </w:rPr>
            </w:pPr>
            <w:r>
              <w:rPr>
                <w:rFonts w:ascii="Calibri" w:hAnsi="Calibri" w:cs="Calibri"/>
              </w:rPr>
              <w:t>The policy tool merely mentions that certain forms of non-compliance shall be subject to administrative sanctions in accordance with the applicable laws and regulations. Such administrative sanctions are generally imposed for parties which do not fulfil its reporting obligations or those which disregard the obligation to prepare the requisite documentation of carbon unit generation.</w:t>
            </w:r>
            <w:r>
              <w:rPr>
                <w:rStyle w:val="FootnoteReference"/>
                <w:rFonts w:ascii="Calibri" w:hAnsi="Calibri" w:cs="Calibri"/>
              </w:rPr>
              <w:footnoteReference w:id="9"/>
            </w: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lastRenderedPageBreak/>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4180F6E8" w:rsidR="00092534" w:rsidRPr="00CF2E7C" w:rsidRDefault="00FF1AB1" w:rsidP="00CF2E7C">
            <w:pPr>
              <w:rPr>
                <w:rFonts w:ascii="Calibri" w:hAnsi="Calibri" w:cs="Calibri"/>
              </w:rPr>
            </w:pPr>
            <w:r>
              <w:rPr>
                <w:rFonts w:ascii="Calibri" w:hAnsi="Calibri" w:cs="Calibri"/>
              </w:rPr>
              <w:t>X</w:t>
            </w: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7F3CA92C" w14:textId="77777777" w:rsidR="00D93600" w:rsidRDefault="00D93600" w:rsidP="00D93600">
            <w:pPr>
              <w:jc w:val="both"/>
              <w:rPr>
                <w:rFonts w:ascii="Calibri" w:hAnsi="Calibri" w:cs="Calibri"/>
              </w:rPr>
            </w:pPr>
            <w:r>
              <w:rPr>
                <w:rFonts w:ascii="Calibri" w:hAnsi="Calibri" w:cs="Calibri"/>
              </w:rPr>
              <w:t>As a form implementation for the policy tool, regional/local governments have begun preparing regulations intended to govern the procedures applicable for it to approve projects intended for carbon trading activities within its jurisdiction. For instance, the Regency of Kutai Kartanegara has issued a regulation governing the issuance of location approvals and collaboration agreements between the regency and potential parties which intend to conduct carbon trading activities in mangrove and peatland areas located outside forestry areas.</w:t>
            </w:r>
          </w:p>
          <w:p w14:paraId="130CC207" w14:textId="6BDBE1F0" w:rsidR="00A04FAB" w:rsidRPr="00CF2E7C" w:rsidRDefault="004467CD" w:rsidP="004467CD">
            <w:pPr>
              <w:jc w:val="both"/>
              <w:rPr>
                <w:rFonts w:ascii="Calibri" w:hAnsi="Calibri" w:cs="Calibri"/>
              </w:rPr>
            </w:pPr>
            <w:r>
              <w:rPr>
                <w:rFonts w:ascii="Calibri" w:hAnsi="Calibri" w:cs="Calibri"/>
              </w:rPr>
              <w:t>(</w:t>
            </w:r>
            <w:hyperlink r:id="rId17" w:history="1">
              <w:r w:rsidRPr="00755648">
                <w:rPr>
                  <w:rStyle w:val="Hyperlink"/>
                  <w:rFonts w:ascii="Calibri" w:hAnsi="Calibri" w:cs="Calibri"/>
                </w:rPr>
                <w:t>https://web.archive.org/web/20250704113526/https://jdih.kukarkab.go.id/produk-hukum/peraturan/peraturan-bupati-kutai-kartanegara-no-17-tahun-2025-tentang-tata-cara-pemberian-persetujuan-lokasi-untuk-kegiatan-perdagangan-karbon-sektor-kehutanan-pada-kawasan-gambut-dan-kawasan-mangrove-yang-berada-di-luar-kawasan-hutan?purpose=unduh</w:t>
              </w:r>
            </w:hyperlink>
            <w:r>
              <w:rPr>
                <w:rFonts w:ascii="Calibri" w:hAnsi="Calibri" w:cs="Calibri"/>
              </w:rPr>
              <w:t xml:space="preserve">) </w:t>
            </w: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0B8CEA24" w:rsidR="00092534" w:rsidRPr="00CF2E7C" w:rsidRDefault="00FF1AB1"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1A6E84A8" w:rsidR="00D46B07" w:rsidRPr="00CF2E7C" w:rsidRDefault="001F20C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1CE3D842" w:rsidR="00D46B07" w:rsidRPr="00CF2E7C" w:rsidRDefault="001F20C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50ED566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71B4AAD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08231D">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3B0A440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08231D">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13DFD52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08231D">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0D01C7AA" w:rsidR="00D46B07" w:rsidRPr="00CF2E7C" w:rsidRDefault="0008231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06F225E9" w14:textId="77777777" w:rsidR="000334B6" w:rsidRDefault="0008231D" w:rsidP="0008231D">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In essence, Article 3(3) of the policy tool recognizes that carbon trading as a form of climate change mitigation activities includes the following activities:</w:t>
            </w:r>
          </w:p>
          <w:p w14:paraId="1DEEC20E" w14:textId="77777777" w:rsidR="002E18AE" w:rsidRDefault="002E18AE" w:rsidP="002E18AE">
            <w:pPr>
              <w:pStyle w:val="ListParagraph"/>
              <w:numPr>
                <w:ilvl w:val="0"/>
                <w:numId w:val="53"/>
              </w:numPr>
              <w:jc w:val="both"/>
              <w:textAlignment w:val="baseline"/>
              <w:rPr>
                <w:rFonts w:ascii="Calibri" w:eastAsia="Times New Roman" w:hAnsi="Calibri" w:cs="Calibri"/>
                <w:kern w:val="0"/>
                <w:lang w:eastAsia="en-GB"/>
                <w14:ligatures w14:val="none"/>
              </w:rPr>
            </w:pPr>
            <w:r w:rsidRPr="002E18AE">
              <w:rPr>
                <w:rFonts w:ascii="Calibri" w:eastAsia="Times New Roman" w:hAnsi="Calibri" w:cs="Calibri"/>
                <w:kern w:val="0"/>
                <w:lang w:eastAsia="en-GB"/>
                <w14:ligatures w14:val="none"/>
              </w:rPr>
              <w:t>reduction of deforestation rate at mineral sites;</w:t>
            </w:r>
          </w:p>
          <w:p w14:paraId="0B04BBE3" w14:textId="77777777" w:rsidR="002E18AE" w:rsidRDefault="002E18AE" w:rsidP="002E18AE">
            <w:pPr>
              <w:pStyle w:val="ListParagraph"/>
              <w:numPr>
                <w:ilvl w:val="0"/>
                <w:numId w:val="53"/>
              </w:numPr>
              <w:jc w:val="both"/>
              <w:textAlignment w:val="baseline"/>
              <w:rPr>
                <w:rFonts w:ascii="Calibri" w:eastAsia="Times New Roman" w:hAnsi="Calibri" w:cs="Calibri"/>
                <w:kern w:val="0"/>
                <w:lang w:eastAsia="en-GB"/>
                <w14:ligatures w14:val="none"/>
              </w:rPr>
            </w:pPr>
            <w:r w:rsidRPr="002E18AE">
              <w:rPr>
                <w:rFonts w:ascii="Calibri" w:eastAsia="Times New Roman" w:hAnsi="Calibri" w:cs="Calibri"/>
                <w:kern w:val="0"/>
                <w:lang w:eastAsia="en-GB"/>
                <w14:ligatures w14:val="none"/>
              </w:rPr>
              <w:t>reduction of deforestation rate of peatlands and mangroves;</w:t>
            </w:r>
          </w:p>
          <w:p w14:paraId="1D1AA37C" w14:textId="77777777" w:rsidR="002E18AE" w:rsidRDefault="002E18AE" w:rsidP="002E18AE">
            <w:pPr>
              <w:pStyle w:val="ListParagraph"/>
              <w:numPr>
                <w:ilvl w:val="0"/>
                <w:numId w:val="53"/>
              </w:numPr>
              <w:jc w:val="both"/>
              <w:textAlignment w:val="baseline"/>
              <w:rPr>
                <w:rFonts w:ascii="Calibri" w:eastAsia="Times New Roman" w:hAnsi="Calibri" w:cs="Calibri"/>
                <w:kern w:val="0"/>
                <w:lang w:eastAsia="en-GB"/>
                <w14:ligatures w14:val="none"/>
              </w:rPr>
            </w:pPr>
            <w:r w:rsidRPr="002E18AE">
              <w:rPr>
                <w:rFonts w:ascii="Calibri" w:eastAsia="Times New Roman" w:hAnsi="Calibri" w:cs="Calibri"/>
                <w:kern w:val="0"/>
                <w:lang w:eastAsia="en-GB"/>
                <w14:ligatures w14:val="none"/>
              </w:rPr>
              <w:t>reduction in the rate of forest degradation at mineral sites;</w:t>
            </w:r>
          </w:p>
          <w:p w14:paraId="0D687167" w14:textId="77777777" w:rsidR="002E18AE" w:rsidRDefault="002E18AE" w:rsidP="002E18AE">
            <w:pPr>
              <w:pStyle w:val="ListParagraph"/>
              <w:numPr>
                <w:ilvl w:val="0"/>
                <w:numId w:val="53"/>
              </w:numPr>
              <w:jc w:val="both"/>
              <w:textAlignment w:val="baseline"/>
              <w:rPr>
                <w:rFonts w:ascii="Calibri" w:eastAsia="Times New Roman" w:hAnsi="Calibri" w:cs="Calibri"/>
                <w:kern w:val="0"/>
                <w:lang w:eastAsia="en-GB"/>
                <w14:ligatures w14:val="none"/>
              </w:rPr>
            </w:pPr>
            <w:r w:rsidRPr="002E18AE">
              <w:rPr>
                <w:rFonts w:ascii="Calibri" w:eastAsia="Times New Roman" w:hAnsi="Calibri" w:cs="Calibri"/>
                <w:kern w:val="0"/>
                <w:lang w:eastAsia="en-GB"/>
                <w14:ligatures w14:val="none"/>
              </w:rPr>
              <w:t>reduction in the rate of forest degradation in peatlands and mangroves;</w:t>
            </w:r>
          </w:p>
          <w:p w14:paraId="71FECE54" w14:textId="77777777" w:rsidR="002E18AE" w:rsidRDefault="002E18AE" w:rsidP="002E18AE">
            <w:pPr>
              <w:pStyle w:val="ListParagraph"/>
              <w:numPr>
                <w:ilvl w:val="0"/>
                <w:numId w:val="53"/>
              </w:numPr>
              <w:jc w:val="both"/>
              <w:textAlignment w:val="baseline"/>
              <w:rPr>
                <w:rFonts w:ascii="Calibri" w:eastAsia="Times New Roman" w:hAnsi="Calibri" w:cs="Calibri"/>
                <w:kern w:val="0"/>
                <w:lang w:eastAsia="en-GB"/>
                <w14:ligatures w14:val="none"/>
              </w:rPr>
            </w:pPr>
            <w:r w:rsidRPr="002E18AE">
              <w:rPr>
                <w:rFonts w:ascii="Calibri" w:eastAsia="Times New Roman" w:hAnsi="Calibri" w:cs="Calibri"/>
                <w:kern w:val="0"/>
                <w:lang w:eastAsia="en-GB"/>
                <w14:ligatures w14:val="none"/>
              </w:rPr>
              <w:t>development of plantation forests;</w:t>
            </w:r>
          </w:p>
          <w:p w14:paraId="50EF968D" w14:textId="77777777" w:rsidR="002E18AE" w:rsidRDefault="002E18AE" w:rsidP="002E18AE">
            <w:pPr>
              <w:pStyle w:val="ListParagraph"/>
              <w:numPr>
                <w:ilvl w:val="0"/>
                <w:numId w:val="53"/>
              </w:numPr>
              <w:jc w:val="both"/>
              <w:textAlignment w:val="baseline"/>
              <w:rPr>
                <w:rFonts w:ascii="Calibri" w:eastAsia="Times New Roman" w:hAnsi="Calibri" w:cs="Calibri"/>
                <w:kern w:val="0"/>
                <w:lang w:eastAsia="en-GB"/>
                <w14:ligatures w14:val="none"/>
              </w:rPr>
            </w:pPr>
            <w:r w:rsidRPr="002E18AE">
              <w:rPr>
                <w:rFonts w:ascii="Calibri" w:eastAsia="Times New Roman" w:hAnsi="Calibri" w:cs="Calibri"/>
                <w:kern w:val="0"/>
                <w:lang w:eastAsia="en-GB"/>
                <w14:ligatures w14:val="none"/>
              </w:rPr>
              <w:t>sustainable forest management;</w:t>
            </w:r>
          </w:p>
          <w:p w14:paraId="6436F956" w14:textId="77777777" w:rsidR="002E18AE" w:rsidRDefault="002E18AE" w:rsidP="002E18AE">
            <w:pPr>
              <w:pStyle w:val="ListParagraph"/>
              <w:numPr>
                <w:ilvl w:val="0"/>
                <w:numId w:val="53"/>
              </w:numPr>
              <w:jc w:val="both"/>
              <w:textAlignment w:val="baseline"/>
              <w:rPr>
                <w:rFonts w:ascii="Calibri" w:eastAsia="Times New Roman" w:hAnsi="Calibri" w:cs="Calibri"/>
                <w:kern w:val="0"/>
                <w:lang w:eastAsia="en-GB"/>
                <w14:ligatures w14:val="none"/>
              </w:rPr>
            </w:pPr>
            <w:r w:rsidRPr="002E18AE">
              <w:rPr>
                <w:rFonts w:ascii="Calibri" w:eastAsia="Times New Roman" w:hAnsi="Calibri" w:cs="Calibri"/>
                <w:kern w:val="0"/>
                <w:lang w:eastAsia="en-GB"/>
                <w14:ligatures w14:val="none"/>
              </w:rPr>
              <w:t>rotational rehabilitation;</w:t>
            </w:r>
          </w:p>
          <w:p w14:paraId="5903F7BF" w14:textId="77777777" w:rsidR="002E18AE" w:rsidRDefault="002E18AE" w:rsidP="002E18AE">
            <w:pPr>
              <w:pStyle w:val="ListParagraph"/>
              <w:numPr>
                <w:ilvl w:val="0"/>
                <w:numId w:val="53"/>
              </w:numPr>
              <w:jc w:val="both"/>
              <w:textAlignment w:val="baseline"/>
              <w:rPr>
                <w:rFonts w:ascii="Calibri" w:eastAsia="Times New Roman" w:hAnsi="Calibri" w:cs="Calibri"/>
                <w:kern w:val="0"/>
                <w:lang w:eastAsia="en-GB"/>
                <w14:ligatures w14:val="none"/>
              </w:rPr>
            </w:pPr>
            <w:r w:rsidRPr="002E18AE">
              <w:rPr>
                <w:rFonts w:ascii="Calibri" w:eastAsia="Times New Roman" w:hAnsi="Calibri" w:cs="Calibri"/>
                <w:kern w:val="0"/>
                <w:lang w:eastAsia="en-GB"/>
                <w14:ligatures w14:val="none"/>
              </w:rPr>
              <w:t>non-rotational rehabilitation;</w:t>
            </w:r>
          </w:p>
          <w:p w14:paraId="09372180" w14:textId="77777777" w:rsidR="002E18AE" w:rsidRDefault="002E18AE" w:rsidP="002E18AE">
            <w:pPr>
              <w:pStyle w:val="ListParagraph"/>
              <w:numPr>
                <w:ilvl w:val="0"/>
                <w:numId w:val="53"/>
              </w:numPr>
              <w:jc w:val="both"/>
              <w:textAlignment w:val="baseline"/>
              <w:rPr>
                <w:rFonts w:ascii="Calibri" w:eastAsia="Times New Roman" w:hAnsi="Calibri" w:cs="Calibri"/>
                <w:kern w:val="0"/>
                <w:lang w:eastAsia="en-GB"/>
                <w14:ligatures w14:val="none"/>
              </w:rPr>
            </w:pPr>
            <w:r w:rsidRPr="002E18AE">
              <w:rPr>
                <w:rFonts w:ascii="Calibri" w:eastAsia="Times New Roman" w:hAnsi="Calibri" w:cs="Calibri"/>
                <w:kern w:val="0"/>
                <w:lang w:eastAsia="en-GB"/>
                <w14:ligatures w14:val="none"/>
              </w:rPr>
              <w:t>peatland restoration;</w:t>
            </w:r>
          </w:p>
          <w:p w14:paraId="28BF9959" w14:textId="77777777" w:rsidR="002E18AE" w:rsidRDefault="002E18AE" w:rsidP="002E18AE">
            <w:pPr>
              <w:pStyle w:val="ListParagraph"/>
              <w:numPr>
                <w:ilvl w:val="0"/>
                <w:numId w:val="53"/>
              </w:numPr>
              <w:jc w:val="both"/>
              <w:textAlignment w:val="baseline"/>
              <w:rPr>
                <w:rFonts w:ascii="Calibri" w:eastAsia="Times New Roman" w:hAnsi="Calibri" w:cs="Calibri"/>
                <w:kern w:val="0"/>
                <w:lang w:eastAsia="en-GB"/>
                <w14:ligatures w14:val="none"/>
              </w:rPr>
            </w:pPr>
            <w:r w:rsidRPr="002E18AE">
              <w:rPr>
                <w:rFonts w:ascii="Calibri" w:eastAsia="Times New Roman" w:hAnsi="Calibri" w:cs="Calibri"/>
                <w:kern w:val="0"/>
                <w:lang w:eastAsia="en-GB"/>
                <w14:ligatures w14:val="none"/>
              </w:rPr>
              <w:t>improvement of peatland water management;</w:t>
            </w:r>
          </w:p>
          <w:p w14:paraId="47A49CB7" w14:textId="77777777" w:rsidR="002E18AE" w:rsidRDefault="002E18AE" w:rsidP="002E18AE">
            <w:pPr>
              <w:pStyle w:val="ListParagraph"/>
              <w:numPr>
                <w:ilvl w:val="0"/>
                <w:numId w:val="53"/>
              </w:numPr>
              <w:jc w:val="both"/>
              <w:textAlignment w:val="baseline"/>
              <w:rPr>
                <w:rFonts w:ascii="Calibri" w:eastAsia="Times New Roman" w:hAnsi="Calibri" w:cs="Calibri"/>
                <w:kern w:val="0"/>
                <w:lang w:eastAsia="en-GB"/>
                <w14:ligatures w14:val="none"/>
              </w:rPr>
            </w:pPr>
            <w:r w:rsidRPr="002E18AE">
              <w:rPr>
                <w:rFonts w:ascii="Calibri" w:eastAsia="Times New Roman" w:hAnsi="Calibri" w:cs="Calibri"/>
                <w:kern w:val="0"/>
                <w:lang w:eastAsia="en-GB"/>
                <w14:ligatures w14:val="none"/>
              </w:rPr>
              <w:t>mangrove rehabilitation;</w:t>
            </w:r>
          </w:p>
          <w:p w14:paraId="21E4E242" w14:textId="77777777" w:rsidR="002E18AE" w:rsidRDefault="002E18AE" w:rsidP="002E18AE">
            <w:pPr>
              <w:pStyle w:val="ListParagraph"/>
              <w:numPr>
                <w:ilvl w:val="0"/>
                <w:numId w:val="53"/>
              </w:numPr>
              <w:jc w:val="both"/>
              <w:textAlignment w:val="baseline"/>
              <w:rPr>
                <w:rFonts w:ascii="Calibri" w:eastAsia="Times New Roman" w:hAnsi="Calibri" w:cs="Calibri"/>
                <w:kern w:val="0"/>
                <w:lang w:eastAsia="en-GB"/>
                <w14:ligatures w14:val="none"/>
              </w:rPr>
            </w:pPr>
            <w:r w:rsidRPr="002E18AE">
              <w:rPr>
                <w:rFonts w:ascii="Calibri" w:eastAsia="Times New Roman" w:hAnsi="Calibri" w:cs="Calibri"/>
                <w:kern w:val="0"/>
                <w:lang w:eastAsia="en-GB"/>
                <w14:ligatures w14:val="none"/>
              </w:rPr>
              <w:t>afforestation of former mining areas;</w:t>
            </w:r>
          </w:p>
          <w:p w14:paraId="70E2858F" w14:textId="77777777" w:rsidR="002E18AE" w:rsidRDefault="002E18AE" w:rsidP="002E18AE">
            <w:pPr>
              <w:pStyle w:val="ListParagraph"/>
              <w:numPr>
                <w:ilvl w:val="0"/>
                <w:numId w:val="53"/>
              </w:numPr>
              <w:jc w:val="both"/>
              <w:textAlignment w:val="baseline"/>
              <w:rPr>
                <w:rFonts w:ascii="Calibri" w:eastAsia="Times New Roman" w:hAnsi="Calibri" w:cs="Calibri"/>
                <w:kern w:val="0"/>
                <w:lang w:eastAsia="en-GB"/>
                <w14:ligatures w14:val="none"/>
              </w:rPr>
            </w:pPr>
            <w:r w:rsidRPr="002E18AE">
              <w:rPr>
                <w:rFonts w:ascii="Calibri" w:eastAsia="Times New Roman" w:hAnsi="Calibri" w:cs="Calibri"/>
                <w:kern w:val="0"/>
                <w:lang w:eastAsia="en-GB"/>
                <w14:ligatures w14:val="none"/>
              </w:rPr>
              <w:t>construction of permanent plant nurseries;</w:t>
            </w:r>
          </w:p>
          <w:p w14:paraId="212254EA" w14:textId="77777777" w:rsidR="002E18AE" w:rsidRDefault="002E18AE" w:rsidP="002E18AE">
            <w:pPr>
              <w:pStyle w:val="ListParagraph"/>
              <w:numPr>
                <w:ilvl w:val="0"/>
                <w:numId w:val="53"/>
              </w:num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reha</w:t>
            </w:r>
            <w:r w:rsidRPr="002E18AE">
              <w:rPr>
                <w:rFonts w:ascii="Calibri" w:eastAsia="Times New Roman" w:hAnsi="Calibri" w:cs="Calibri"/>
                <w:kern w:val="0"/>
                <w:lang w:eastAsia="en-GB"/>
                <w14:ligatures w14:val="none"/>
              </w:rPr>
              <w:t>bilitation of plants under 5 years of age;</w:t>
            </w:r>
          </w:p>
          <w:p w14:paraId="0D0AFC83" w14:textId="77777777" w:rsidR="002E18AE" w:rsidRDefault="002E18AE" w:rsidP="002E18AE">
            <w:pPr>
              <w:pStyle w:val="ListParagraph"/>
              <w:numPr>
                <w:ilvl w:val="0"/>
                <w:numId w:val="53"/>
              </w:numPr>
              <w:jc w:val="both"/>
              <w:textAlignment w:val="baseline"/>
              <w:rPr>
                <w:rFonts w:ascii="Calibri" w:eastAsia="Times New Roman" w:hAnsi="Calibri" w:cs="Calibri"/>
                <w:kern w:val="0"/>
                <w:lang w:eastAsia="en-GB"/>
                <w14:ligatures w14:val="none"/>
              </w:rPr>
            </w:pPr>
            <w:r w:rsidRPr="002E18AE">
              <w:rPr>
                <w:rFonts w:ascii="Calibri" w:eastAsia="Times New Roman" w:hAnsi="Calibri" w:cs="Calibri"/>
                <w:kern w:val="0"/>
                <w:lang w:eastAsia="en-GB"/>
                <w14:ligatures w14:val="none"/>
              </w:rPr>
              <w:t>biodiversity conservation;</w:t>
            </w:r>
          </w:p>
          <w:p w14:paraId="5DBDB6A0" w14:textId="77777777" w:rsidR="002E18AE" w:rsidRDefault="002E18AE" w:rsidP="002E18AE">
            <w:pPr>
              <w:pStyle w:val="ListParagraph"/>
              <w:numPr>
                <w:ilvl w:val="0"/>
                <w:numId w:val="53"/>
              </w:numPr>
              <w:jc w:val="both"/>
              <w:textAlignment w:val="baseline"/>
              <w:rPr>
                <w:rFonts w:ascii="Calibri" w:eastAsia="Times New Roman" w:hAnsi="Calibri" w:cs="Calibri"/>
                <w:kern w:val="0"/>
                <w:lang w:eastAsia="en-GB"/>
                <w14:ligatures w14:val="none"/>
              </w:rPr>
            </w:pPr>
            <w:r w:rsidRPr="002E18AE">
              <w:rPr>
                <w:rFonts w:ascii="Calibri" w:eastAsia="Times New Roman" w:hAnsi="Calibri" w:cs="Calibri"/>
                <w:kern w:val="0"/>
                <w:lang w:eastAsia="en-GB"/>
                <w14:ligatures w14:val="none"/>
              </w:rPr>
              <w:t>social forestry;</w:t>
            </w:r>
          </w:p>
          <w:p w14:paraId="415A0DCD" w14:textId="77777777" w:rsidR="002E18AE" w:rsidRDefault="002E18AE" w:rsidP="002E18AE">
            <w:pPr>
              <w:pStyle w:val="ListParagraph"/>
              <w:numPr>
                <w:ilvl w:val="0"/>
                <w:numId w:val="53"/>
              </w:numPr>
              <w:jc w:val="both"/>
              <w:textAlignment w:val="baseline"/>
              <w:rPr>
                <w:rFonts w:ascii="Calibri" w:eastAsia="Times New Roman" w:hAnsi="Calibri" w:cs="Calibri"/>
                <w:kern w:val="0"/>
                <w:lang w:eastAsia="en-GB"/>
                <w14:ligatures w14:val="none"/>
              </w:rPr>
            </w:pPr>
            <w:r w:rsidRPr="002E18AE">
              <w:rPr>
                <w:rFonts w:ascii="Calibri" w:eastAsia="Times New Roman" w:hAnsi="Calibri" w:cs="Calibri"/>
                <w:kern w:val="0"/>
                <w:lang w:eastAsia="en-GB"/>
                <w14:ligatures w14:val="none"/>
              </w:rPr>
              <w:t xml:space="preserve"> assistance to customary forests (</w:t>
            </w:r>
            <w:r w:rsidRPr="002E18AE">
              <w:rPr>
                <w:rFonts w:ascii="Calibri" w:eastAsia="Times New Roman" w:hAnsi="Calibri" w:cs="Calibri"/>
                <w:i/>
                <w:iCs/>
                <w:kern w:val="0"/>
                <w:lang w:eastAsia="en-GB"/>
                <w14:ligatures w14:val="none"/>
              </w:rPr>
              <w:t>hutan adat</w:t>
            </w:r>
            <w:r w:rsidRPr="002E18AE">
              <w:rPr>
                <w:rFonts w:ascii="Calibri" w:eastAsia="Times New Roman" w:hAnsi="Calibri" w:cs="Calibri"/>
                <w:kern w:val="0"/>
                <w:lang w:eastAsia="en-GB"/>
                <w14:ligatures w14:val="none"/>
              </w:rPr>
              <w:t>);</w:t>
            </w:r>
          </w:p>
          <w:p w14:paraId="0710E891" w14:textId="77777777" w:rsidR="002E18AE" w:rsidRDefault="002E18AE" w:rsidP="002E18AE">
            <w:pPr>
              <w:pStyle w:val="ListParagraph"/>
              <w:numPr>
                <w:ilvl w:val="0"/>
                <w:numId w:val="53"/>
              </w:numPr>
              <w:jc w:val="both"/>
              <w:textAlignment w:val="baseline"/>
              <w:rPr>
                <w:rFonts w:ascii="Calibri" w:eastAsia="Times New Roman" w:hAnsi="Calibri" w:cs="Calibri"/>
                <w:kern w:val="0"/>
                <w:lang w:eastAsia="en-GB"/>
                <w14:ligatures w14:val="none"/>
              </w:rPr>
            </w:pPr>
            <w:r w:rsidRPr="002E18AE">
              <w:rPr>
                <w:rFonts w:ascii="Calibri" w:eastAsia="Times New Roman" w:hAnsi="Calibri" w:cs="Calibri"/>
                <w:kern w:val="0"/>
                <w:lang w:eastAsia="en-GB"/>
                <w14:ligatures w14:val="none"/>
              </w:rPr>
              <w:t xml:space="preserve"> introduction of ecosystem replication;</w:t>
            </w:r>
          </w:p>
          <w:p w14:paraId="6AA4F191" w14:textId="77777777" w:rsidR="002E18AE" w:rsidRDefault="002E18AE" w:rsidP="002E18AE">
            <w:pPr>
              <w:pStyle w:val="ListParagraph"/>
              <w:numPr>
                <w:ilvl w:val="0"/>
                <w:numId w:val="53"/>
              </w:numPr>
              <w:jc w:val="both"/>
              <w:textAlignment w:val="baseline"/>
              <w:rPr>
                <w:rFonts w:ascii="Calibri" w:eastAsia="Times New Roman" w:hAnsi="Calibri" w:cs="Calibri"/>
                <w:kern w:val="0"/>
                <w:lang w:eastAsia="en-GB"/>
                <w14:ligatures w14:val="none"/>
              </w:rPr>
            </w:pPr>
            <w:r w:rsidRPr="002E18AE">
              <w:rPr>
                <w:rFonts w:ascii="Calibri" w:eastAsia="Times New Roman" w:hAnsi="Calibri" w:cs="Calibri"/>
                <w:kern w:val="0"/>
                <w:lang w:eastAsia="en-GB"/>
                <w14:ligatures w14:val="none"/>
              </w:rPr>
              <w:t xml:space="preserve"> green open space development;</w:t>
            </w:r>
          </w:p>
          <w:p w14:paraId="08302531" w14:textId="77777777" w:rsidR="002E18AE" w:rsidRDefault="002E18AE" w:rsidP="002E18AE">
            <w:pPr>
              <w:pStyle w:val="ListParagraph"/>
              <w:numPr>
                <w:ilvl w:val="0"/>
                <w:numId w:val="53"/>
              </w:numPr>
              <w:jc w:val="both"/>
              <w:textAlignment w:val="baseline"/>
              <w:rPr>
                <w:rFonts w:ascii="Calibri" w:eastAsia="Times New Roman" w:hAnsi="Calibri" w:cs="Calibri"/>
                <w:kern w:val="0"/>
                <w:lang w:eastAsia="en-GB"/>
                <w14:ligatures w14:val="none"/>
              </w:rPr>
            </w:pPr>
            <w:r w:rsidRPr="002E18AE">
              <w:rPr>
                <w:rFonts w:ascii="Calibri" w:eastAsia="Times New Roman" w:hAnsi="Calibri" w:cs="Calibri"/>
                <w:kern w:val="0"/>
                <w:lang w:eastAsia="en-GB"/>
                <w14:ligatures w14:val="none"/>
              </w:rPr>
              <w:t>eco-riparian;</w:t>
            </w:r>
          </w:p>
          <w:p w14:paraId="68E9DABE" w14:textId="77777777" w:rsidR="002E18AE" w:rsidRDefault="002E18AE" w:rsidP="00E3006C">
            <w:pPr>
              <w:pStyle w:val="ListParagraph"/>
              <w:numPr>
                <w:ilvl w:val="0"/>
                <w:numId w:val="53"/>
              </w:numPr>
              <w:jc w:val="both"/>
              <w:textAlignment w:val="baseline"/>
              <w:rPr>
                <w:rFonts w:ascii="Calibri" w:eastAsia="Times New Roman" w:hAnsi="Calibri" w:cs="Calibri"/>
                <w:kern w:val="0"/>
                <w:lang w:eastAsia="en-GB"/>
                <w14:ligatures w14:val="none"/>
              </w:rPr>
            </w:pPr>
            <w:r w:rsidRPr="002E18AE">
              <w:rPr>
                <w:rFonts w:ascii="Calibri" w:eastAsia="Times New Roman" w:hAnsi="Calibri" w:cs="Calibri"/>
                <w:kern w:val="0"/>
                <w:lang w:eastAsia="en-GB"/>
                <w14:ligatures w14:val="none"/>
              </w:rPr>
              <w:t xml:space="preserve"> monitoring and enforcement of law to support the protection and safeguarding of forestry areas; and/or</w:t>
            </w:r>
          </w:p>
          <w:p w14:paraId="179E66DC" w14:textId="7F36806D" w:rsidR="002E18AE" w:rsidRPr="002E18AE" w:rsidRDefault="002E18AE" w:rsidP="00E3006C">
            <w:pPr>
              <w:pStyle w:val="ListParagraph"/>
              <w:numPr>
                <w:ilvl w:val="0"/>
                <w:numId w:val="53"/>
              </w:numPr>
              <w:jc w:val="both"/>
              <w:textAlignment w:val="baseline"/>
              <w:rPr>
                <w:rFonts w:ascii="Calibri" w:eastAsia="Times New Roman" w:hAnsi="Calibri" w:cs="Calibri"/>
                <w:kern w:val="0"/>
                <w:lang w:eastAsia="en-GB"/>
                <w14:ligatures w14:val="none"/>
              </w:rPr>
            </w:pPr>
            <w:r w:rsidRPr="002E18AE">
              <w:rPr>
                <w:rFonts w:ascii="Calibri" w:eastAsia="Times New Roman" w:hAnsi="Calibri" w:cs="Calibri"/>
                <w:kern w:val="0"/>
                <w:lang w:eastAsia="en-GB"/>
                <w14:ligatures w14:val="none"/>
              </w:rPr>
              <w:t>other activities in accordance with the development of science knowledge and technology.</w:t>
            </w:r>
          </w:p>
          <w:p w14:paraId="3A6E7E46" w14:textId="27C17BE1" w:rsidR="0008231D" w:rsidRPr="002E18AE" w:rsidRDefault="002E18AE" w:rsidP="002E18AE">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broadness of the language used in the last point suggests that other approaches to crediting, such as jurisdictional REDD+ may be considered.</w:t>
            </w: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16DEDD2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4FFA9C4" w:rsidR="00702413" w:rsidRPr="00CF2E7C" w:rsidRDefault="00E3006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r w:rsidR="00702413" w:rsidRPr="00CF2E7C">
              <w:rPr>
                <w:rFonts w:ascii="Calibri" w:eastAsia="Times New Roman" w:hAnsi="Calibri" w:cs="Calibri"/>
                <w:kern w:val="0"/>
                <w:lang w:val="en-US" w:eastAsia="en-GB"/>
                <w14:ligatures w14:val="none"/>
              </w:rPr>
              <w:t> </w:t>
            </w:r>
            <w:r w:rsidR="00702413"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48B39C5A" w:rsidR="00702413" w:rsidRPr="00CF2E7C" w:rsidRDefault="001F20C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r w:rsidR="00702413" w:rsidRPr="00CF2E7C">
              <w:rPr>
                <w:rFonts w:ascii="Calibri" w:eastAsia="Times New Roman" w:hAnsi="Calibri" w:cs="Calibri"/>
                <w:kern w:val="0"/>
                <w:lang w:val="en-US" w:eastAsia="en-GB"/>
                <w14:ligatures w14:val="none"/>
              </w:rPr>
              <w:t> </w:t>
            </w:r>
            <w:r w:rsidR="00702413"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2D820B2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F20CA">
              <w:rPr>
                <w:rFonts w:ascii="Calibri" w:eastAsia="Times New Roman" w:hAnsi="Calibri" w:cs="Calibri"/>
                <w:kern w:val="0"/>
                <w:lang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0F2A49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F20CA">
              <w:rPr>
                <w:rFonts w:ascii="Calibri" w:eastAsia="Times New Roman" w:hAnsi="Calibri" w:cs="Calibri"/>
                <w:kern w:val="0"/>
                <w:lang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27A040D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F20CA">
              <w:rPr>
                <w:rFonts w:ascii="Calibri" w:eastAsia="Times New Roman" w:hAnsi="Calibri" w:cs="Calibri"/>
                <w:kern w:val="0"/>
                <w:lang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661A08A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E3006C">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277F9F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1D8496" w14:textId="6A03B32F" w:rsidR="00702413" w:rsidRDefault="00702413" w:rsidP="00590C7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90C71">
              <w:rPr>
                <w:rFonts w:ascii="Calibri" w:eastAsia="Times New Roman" w:hAnsi="Calibri" w:cs="Calibri"/>
                <w:kern w:val="0"/>
                <w:lang w:eastAsia="en-GB"/>
                <w14:ligatures w14:val="none"/>
              </w:rPr>
              <w:t>Indonesia issues carbon credits for activities undertaken by relevant stakeholders which reduce greenhouse gas emissions</w:t>
            </w:r>
            <w:r w:rsidR="002E4C5F">
              <w:rPr>
                <w:rFonts w:ascii="Calibri" w:eastAsia="Times New Roman" w:hAnsi="Calibri" w:cs="Calibri"/>
                <w:kern w:val="0"/>
                <w:lang w:eastAsia="en-GB"/>
                <w14:ligatures w14:val="none"/>
              </w:rPr>
              <w:t xml:space="preserve"> (“</w:t>
            </w:r>
            <w:r w:rsidR="002E4C5F" w:rsidRPr="002E4C5F">
              <w:rPr>
                <w:rFonts w:ascii="Calibri" w:eastAsia="Times New Roman" w:hAnsi="Calibri" w:cs="Calibri"/>
                <w:b/>
                <w:bCs/>
                <w:kern w:val="0"/>
                <w:lang w:eastAsia="en-GB"/>
                <w14:ligatures w14:val="none"/>
              </w:rPr>
              <w:t>GHG</w:t>
            </w:r>
            <w:r w:rsidR="002E4C5F">
              <w:rPr>
                <w:rFonts w:ascii="Calibri" w:eastAsia="Times New Roman" w:hAnsi="Calibri" w:cs="Calibri"/>
                <w:kern w:val="0"/>
                <w:lang w:eastAsia="en-GB"/>
                <w14:ligatures w14:val="none"/>
              </w:rPr>
              <w:t>”)</w:t>
            </w:r>
            <w:r w:rsidR="00691F45">
              <w:rPr>
                <w:rFonts w:ascii="Calibri" w:eastAsia="Times New Roman" w:hAnsi="Calibri" w:cs="Calibri"/>
                <w:kern w:val="0"/>
                <w:lang w:eastAsia="en-GB"/>
                <w14:ligatures w14:val="none"/>
              </w:rPr>
              <w:t>; such carbon credits may offset emissions produced by other activities which may</w:t>
            </w:r>
            <w:r w:rsidR="00000A69">
              <w:rPr>
                <w:rFonts w:ascii="Calibri" w:eastAsia="Times New Roman" w:hAnsi="Calibri" w:cs="Calibri"/>
                <w:kern w:val="0"/>
                <w:lang w:eastAsia="en-GB"/>
                <w14:ligatures w14:val="none"/>
              </w:rPr>
              <w:t>/has</w:t>
            </w:r>
            <w:r w:rsidR="00691F45">
              <w:rPr>
                <w:rFonts w:ascii="Calibri" w:eastAsia="Times New Roman" w:hAnsi="Calibri" w:cs="Calibri"/>
                <w:kern w:val="0"/>
                <w:lang w:eastAsia="en-GB"/>
                <w14:ligatures w14:val="none"/>
              </w:rPr>
              <w:t xml:space="preserve"> be</w:t>
            </w:r>
            <w:r w:rsidR="00000A69">
              <w:rPr>
                <w:rFonts w:ascii="Calibri" w:eastAsia="Times New Roman" w:hAnsi="Calibri" w:cs="Calibri"/>
                <w:kern w:val="0"/>
                <w:lang w:eastAsia="en-GB"/>
                <w14:ligatures w14:val="none"/>
              </w:rPr>
              <w:t>en</w:t>
            </w:r>
            <w:r w:rsidR="00691F45">
              <w:rPr>
                <w:rFonts w:ascii="Calibri" w:eastAsia="Times New Roman" w:hAnsi="Calibri" w:cs="Calibri"/>
                <w:kern w:val="0"/>
                <w:lang w:eastAsia="en-GB"/>
                <w14:ligatures w14:val="none"/>
              </w:rPr>
              <w:t xml:space="preserve"> conducted </w:t>
            </w:r>
            <w:r w:rsidR="00000A69">
              <w:rPr>
                <w:rFonts w:ascii="Calibri" w:eastAsia="Times New Roman" w:hAnsi="Calibri" w:cs="Calibri"/>
                <w:kern w:val="0"/>
                <w:lang w:eastAsia="en-GB"/>
                <w14:ligatures w14:val="none"/>
              </w:rPr>
              <w:t>in a different location</w:t>
            </w:r>
            <w:r w:rsidR="00590C71">
              <w:rPr>
                <w:rFonts w:ascii="Calibri" w:eastAsia="Times New Roman" w:hAnsi="Calibri" w:cs="Calibri"/>
                <w:kern w:val="0"/>
                <w:lang w:eastAsia="en-GB"/>
                <w14:ligatures w14:val="none"/>
              </w:rPr>
              <w:t>. These carbon credits are referred to as Greenhouse Gas Emission Reduction Certificate (</w:t>
            </w:r>
            <w:r w:rsidR="00590C71" w:rsidRPr="00590C71">
              <w:rPr>
                <w:rFonts w:ascii="Calibri" w:eastAsia="Times New Roman" w:hAnsi="Calibri" w:cs="Calibri"/>
                <w:i/>
                <w:iCs/>
                <w:kern w:val="0"/>
                <w:lang w:eastAsia="en-GB"/>
                <w14:ligatures w14:val="none"/>
              </w:rPr>
              <w:t>Sertifikat Pengurangan Emisi Gas Rumah Kaca</w:t>
            </w:r>
            <w:r w:rsidR="00590C71">
              <w:rPr>
                <w:rFonts w:ascii="Calibri" w:eastAsia="Times New Roman" w:hAnsi="Calibri" w:cs="Calibri"/>
                <w:kern w:val="0"/>
                <w:lang w:eastAsia="en-GB"/>
                <w14:ligatures w14:val="none"/>
              </w:rPr>
              <w:t>, “</w:t>
            </w:r>
            <w:r w:rsidR="00590C71" w:rsidRPr="00590C71">
              <w:rPr>
                <w:rFonts w:ascii="Calibri" w:eastAsia="Times New Roman" w:hAnsi="Calibri" w:cs="Calibri"/>
                <w:b/>
                <w:bCs/>
                <w:kern w:val="0"/>
                <w:lang w:eastAsia="en-GB"/>
                <w14:ligatures w14:val="none"/>
              </w:rPr>
              <w:t>SPE-GRK</w:t>
            </w:r>
            <w:r w:rsidR="00590C71">
              <w:rPr>
                <w:rFonts w:ascii="Calibri" w:eastAsia="Times New Roman" w:hAnsi="Calibri" w:cs="Calibri"/>
                <w:kern w:val="0"/>
                <w:lang w:eastAsia="en-GB"/>
                <w14:ligatures w14:val="none"/>
              </w:rPr>
              <w:t xml:space="preserve">”) and </w:t>
            </w:r>
            <w:r w:rsidR="001257B8">
              <w:rPr>
                <w:rFonts w:ascii="Calibri" w:eastAsia="Times New Roman" w:hAnsi="Calibri" w:cs="Calibri"/>
                <w:kern w:val="0"/>
                <w:lang w:eastAsia="en-GB"/>
                <w14:ligatures w14:val="none"/>
              </w:rPr>
              <w:t xml:space="preserve">by virtue of its definition under Article 1(21) of the policy tool, all SPE-GRK </w:t>
            </w:r>
            <w:r w:rsidR="00590C71">
              <w:rPr>
                <w:rFonts w:ascii="Calibri" w:eastAsia="Times New Roman" w:hAnsi="Calibri" w:cs="Calibri"/>
                <w:kern w:val="0"/>
                <w:lang w:eastAsia="en-GB"/>
                <w14:ligatures w14:val="none"/>
              </w:rPr>
              <w:t xml:space="preserve">must be registered in the SRN PPI. </w:t>
            </w:r>
          </w:p>
          <w:p w14:paraId="38C2165D" w14:textId="57BAC643" w:rsidR="00E3006C" w:rsidRPr="00CF2E7C" w:rsidRDefault="00E3006C" w:rsidP="00590C71">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SRN PPI is not a private registry and is instead run and supervised by the government.</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2CF3F396" w:rsidR="00343937" w:rsidRPr="00CF2E7C" w:rsidRDefault="001F20C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691B272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113CA">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 xml:space="preserve">carbon </w:t>
            </w:r>
            <w:r w:rsidRPr="00CF2E7C">
              <w:rPr>
                <w:rFonts w:ascii="Calibri" w:eastAsia="Times New Roman" w:hAnsi="Calibri" w:cs="Calibri"/>
                <w:b/>
                <w:color w:val="7030A0"/>
                <w:kern w:val="0"/>
                <w:lang w:eastAsia="en-GB"/>
                <w14:ligatures w14:val="none"/>
              </w:rPr>
              <w:lastRenderedPageBreak/>
              <w:t>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5D4474C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r w:rsidR="00E3006C">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67D45BC0" w:rsidR="00343937" w:rsidRPr="00CF2E7C" w:rsidRDefault="00A15AA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 </w:t>
            </w:r>
            <w:r w:rsidR="00E3006C">
              <w:rPr>
                <w:rFonts w:ascii="Calibri" w:eastAsia="Times New Roman" w:hAnsi="Calibri" w:cs="Calibri"/>
                <w:kern w:val="0"/>
                <w:lang w:val="en-US" w:eastAsia="en-GB"/>
                <w14:ligatures w14:val="none"/>
              </w:rPr>
              <w:t>X</w:t>
            </w:r>
            <w:r w:rsidR="00343937" w:rsidRPr="00CF2E7C">
              <w:rPr>
                <w:rFonts w:ascii="Calibri" w:eastAsia="Times New Roman" w:hAnsi="Calibri" w:cs="Calibri"/>
                <w:kern w:val="0"/>
                <w:lang w:val="en-US" w:eastAsia="en-GB"/>
                <w14:ligatures w14:val="none"/>
              </w:rPr>
              <w:t> </w:t>
            </w:r>
            <w:r w:rsidR="00343937"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24974DB3" w:rsidR="00343937" w:rsidRPr="00CF2E7C" w:rsidRDefault="00343937" w:rsidP="00CF2E7C">
            <w:pPr>
              <w:textAlignment w:val="baseline"/>
              <w:rPr>
                <w:rFonts w:ascii="Calibri" w:eastAsia="Times New Roman" w:hAnsi="Calibri" w:cs="Calibri"/>
                <w:kern w:val="0"/>
                <w:lang w:eastAsia="en-GB"/>
                <w14:ligatures w14:val="none"/>
              </w:rPr>
            </w:pP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3F290AF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3006C">
              <w:rPr>
                <w:rFonts w:ascii="Calibri" w:eastAsia="Times New Roman" w:hAnsi="Calibri" w:cs="Calibri"/>
                <w:kern w:val="0"/>
                <w:lang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4B13517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3006C">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5B8C91E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3006C">
              <w:rPr>
                <w:rFonts w:ascii="Calibri" w:eastAsia="Times New Roman" w:hAnsi="Calibri" w:cs="Calibri"/>
                <w:kern w:val="0"/>
                <w:lang w:eastAsia="en-GB"/>
                <w14:ligatures w14:val="none"/>
              </w:rPr>
              <w:t>X</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0296B4" w14:textId="77777777" w:rsidR="00343937" w:rsidRDefault="00825283" w:rsidP="00A15AAC">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Article 1(21) of the policy tool requires the official national carbon credits of Indonesia, the SPE-GRK, to be registered in the SRN PPI. While the policy tool does not explicitly mention that such registration was intended to avoid double-counting, </w:t>
            </w:r>
            <w:r w:rsidR="00A15AAC">
              <w:rPr>
                <w:rFonts w:ascii="Calibri" w:eastAsia="Times New Roman" w:hAnsi="Calibri" w:cs="Calibri"/>
                <w:kern w:val="0"/>
                <w:lang w:eastAsia="en-GB"/>
                <w14:ligatures w14:val="none"/>
              </w:rPr>
              <w:t>other policy tool has noted that the SRN PPI is conducted to prevent double counting.</w:t>
            </w:r>
            <w:r w:rsidR="00A15AAC">
              <w:rPr>
                <w:rStyle w:val="FootnoteReference"/>
                <w:rFonts w:ascii="Calibri" w:eastAsia="Times New Roman" w:hAnsi="Calibri" w:cs="Calibri"/>
                <w:kern w:val="0"/>
                <w:lang w:eastAsia="en-GB"/>
                <w14:ligatures w14:val="none"/>
              </w:rPr>
              <w:footnoteReference w:id="10"/>
            </w:r>
            <w:r w:rsidR="00A15AAC">
              <w:rPr>
                <w:rFonts w:ascii="Calibri" w:eastAsia="Times New Roman" w:hAnsi="Calibri" w:cs="Calibri"/>
                <w:kern w:val="0"/>
                <w:lang w:eastAsia="en-GB"/>
                <w14:ligatures w14:val="none"/>
              </w:rPr>
              <w:t xml:space="preserve"> </w:t>
            </w:r>
          </w:p>
          <w:p w14:paraId="5F92DBF0" w14:textId="7228B931" w:rsidR="00035B20" w:rsidRDefault="00035B20" w:rsidP="00A15AAC">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Article 16 of this policy tool, however, does expressly stipulate that carbon trading cannot be conducted under the following conditions:</w:t>
            </w:r>
          </w:p>
          <w:p w14:paraId="621EBE1D" w14:textId="0B101A2D" w:rsidR="00035B20" w:rsidRDefault="00FE592A" w:rsidP="00035B20">
            <w:pPr>
              <w:pStyle w:val="ListParagraph"/>
              <w:numPr>
                <w:ilvl w:val="0"/>
                <w:numId w:val="54"/>
              </w:num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when the associated project has </w:t>
            </w:r>
            <w:r w:rsidR="00915894">
              <w:rPr>
                <w:rFonts w:ascii="Calibri" w:eastAsia="Times New Roman" w:hAnsi="Calibri" w:cs="Calibri"/>
                <w:kern w:val="0"/>
                <w:lang w:eastAsia="en-GB"/>
                <w14:ligatures w14:val="none"/>
              </w:rPr>
              <w:t xml:space="preserve">already </w:t>
            </w:r>
            <w:r>
              <w:rPr>
                <w:rFonts w:ascii="Calibri" w:eastAsia="Times New Roman" w:hAnsi="Calibri" w:cs="Calibri"/>
                <w:kern w:val="0"/>
                <w:lang w:eastAsia="en-GB"/>
                <w14:ligatures w14:val="none"/>
              </w:rPr>
              <w:t>received benefits from the result-based payment scheme</w:t>
            </w:r>
            <w:r w:rsidR="00EE06F3">
              <w:rPr>
                <w:rFonts w:ascii="Calibri" w:eastAsia="Times New Roman" w:hAnsi="Calibri" w:cs="Calibri"/>
                <w:kern w:val="0"/>
                <w:lang w:eastAsia="en-GB"/>
                <w14:ligatures w14:val="none"/>
              </w:rPr>
              <w:t xml:space="preserve">, which is a non-market/trading incentive scheme which monetize </w:t>
            </w:r>
            <w:r w:rsidR="00915894">
              <w:rPr>
                <w:rFonts w:ascii="Calibri" w:eastAsia="Times New Roman" w:hAnsi="Calibri" w:cs="Calibri"/>
                <w:kern w:val="0"/>
                <w:lang w:eastAsia="en-GB"/>
                <w14:ligatures w14:val="none"/>
              </w:rPr>
              <w:t>emission reductions using international grants, national state budget, etc.</w:t>
            </w:r>
          </w:p>
          <w:p w14:paraId="4878BF58" w14:textId="306991FA" w:rsidR="00915894" w:rsidRPr="00035B20" w:rsidRDefault="00915894" w:rsidP="00035B20">
            <w:pPr>
              <w:pStyle w:val="ListParagraph"/>
              <w:numPr>
                <w:ilvl w:val="0"/>
                <w:numId w:val="54"/>
              </w:num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when the associated project has already received benefits and is subject to an international cooperation agreement or some other form of written arrangement comparable to the result-based payment scheme described above.</w:t>
            </w: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37D8198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F20CA">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8595DE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F20CA">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1774A11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F20CA">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055BDE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F20CA">
              <w:rPr>
                <w:rFonts w:ascii="Calibri" w:eastAsia="Times New Roman" w:hAnsi="Calibri" w:cs="Calibri"/>
                <w:kern w:val="0"/>
                <w:lang w:eastAsia="en-GB"/>
                <w14:ligatures w14:val="none"/>
              </w:rPr>
              <w:t>X</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12129E0D"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24636E76" w:rsidR="000A6F11" w:rsidRPr="00CF2E7C" w:rsidRDefault="001F20C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15915E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F20CA">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05C6EAD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50D8F779" w:rsidR="00702413" w:rsidRPr="00CF2E7C" w:rsidRDefault="00D57F6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1F20CA">
              <w:rPr>
                <w:rFonts w:ascii="Calibri" w:eastAsia="Times New Roman" w:hAnsi="Calibri" w:cs="Calibri"/>
                <w:kern w:val="0"/>
                <w:lang w:eastAsia="en-GB"/>
                <w14:ligatures w14:val="none"/>
              </w:rPr>
              <w:t>X</w:t>
            </w:r>
            <w:r w:rsidR="00702413" w:rsidRPr="00CF2E7C">
              <w:rPr>
                <w:rFonts w:ascii="Calibri" w:eastAsia="Times New Roman" w:hAnsi="Calibri" w:cs="Calibri"/>
                <w:kern w:val="0"/>
                <w:lang w:eastAsia="en-GB"/>
                <w14:ligatures w14:val="none"/>
              </w:rPr>
              <w:t> </w:t>
            </w:r>
            <w:r w:rsidR="00702413" w:rsidRPr="00CF2E7C">
              <w:rPr>
                <w:rFonts w:ascii="Calibri" w:eastAsia="Times New Roman" w:hAnsi="Calibri" w:cs="Calibri"/>
                <w:kern w:val="0"/>
                <w:lang w:val="en-US" w:eastAsia="en-GB"/>
                <w14:ligatures w14:val="none"/>
              </w:rPr>
              <w:t> </w:t>
            </w:r>
            <w:r w:rsidR="00702413"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2548C6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3BDCB58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001F20CA">
              <w:rPr>
                <w:rFonts w:ascii="Calibri" w:eastAsia="Times New Roman" w:hAnsi="Calibri" w:cs="Calibri"/>
                <w:kern w:val="0"/>
                <w:lang w:val="en-US" w:eastAsia="en-GB"/>
                <w14:ligatures w14:val="none"/>
              </w:rPr>
              <w:t>X</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1D2D357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F20CA">
              <w:rPr>
                <w:rFonts w:ascii="Calibri" w:eastAsia="Times New Roman" w:hAnsi="Calibri" w:cs="Calibri"/>
                <w:kern w:val="0"/>
                <w:lang w:eastAsia="en-GB"/>
                <w14:ligatures w14:val="none"/>
              </w:rPr>
              <w:t>X</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2E9ACA9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1F20CA">
              <w:rPr>
                <w:rFonts w:ascii="Calibri" w:eastAsia="Times New Roman" w:hAnsi="Calibri" w:cs="Calibri"/>
                <w:kern w:val="0"/>
                <w:lang w:eastAsia="en-GB"/>
                <w14:ligatures w14:val="none"/>
              </w:rPr>
              <w:t>X</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035A5FA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1F20CA">
              <w:rPr>
                <w:rFonts w:ascii="Calibri" w:eastAsia="Times New Roman" w:hAnsi="Calibri" w:cs="Calibri"/>
                <w:kern w:val="0"/>
                <w:lang w:eastAsia="en-GB"/>
                <w14:ligatures w14:val="none"/>
              </w:rPr>
              <w:t>X</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3D13E22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1F20CA">
              <w:rPr>
                <w:rFonts w:ascii="Calibri" w:eastAsia="Times New Roman" w:hAnsi="Calibri" w:cs="Calibri"/>
                <w:kern w:val="0"/>
                <w:lang w:eastAsia="en-GB"/>
                <w14:ligatures w14:val="none"/>
              </w:rPr>
              <w:t>X</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3ED8E31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1F20CA">
              <w:rPr>
                <w:rFonts w:ascii="Calibri" w:eastAsia="Times New Roman" w:hAnsi="Calibri" w:cs="Calibri"/>
                <w:kern w:val="0"/>
                <w:lang w:eastAsia="en-GB"/>
                <w14:ligatures w14:val="none"/>
              </w:rPr>
              <w:t>X</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6C416B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F20CA">
              <w:rPr>
                <w:rFonts w:ascii="Calibri" w:eastAsia="Times New Roman" w:hAnsi="Calibri" w:cs="Calibri"/>
                <w:kern w:val="0"/>
                <w:lang w:eastAsia="en-GB"/>
                <w14:ligatures w14:val="none"/>
              </w:rPr>
              <w:t>X</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218DB8A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1F20CA">
              <w:rPr>
                <w:rFonts w:ascii="Calibri" w:eastAsia="Times New Roman" w:hAnsi="Calibri" w:cs="Calibri"/>
                <w:kern w:val="0"/>
                <w:lang w:eastAsia="en-GB"/>
                <w14:ligatures w14:val="none"/>
              </w:rPr>
              <w:t>X</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7C34C5E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2D681E0E" w:rsidR="00047A9C" w:rsidRPr="00CF2E7C" w:rsidRDefault="006E6C0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6392838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E6C03">
              <w:rPr>
                <w:rFonts w:ascii="Calibri" w:eastAsia="Times New Roman" w:hAnsi="Calibri" w:cs="Calibri"/>
                <w:kern w:val="0"/>
                <w:lang w:eastAsia="en-GB"/>
                <w14:ligatures w14:val="none"/>
              </w:rPr>
              <w:t>X</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2E9C528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E6C03">
              <w:rPr>
                <w:rFonts w:ascii="Calibri" w:eastAsia="Times New Roman" w:hAnsi="Calibri" w:cs="Calibri"/>
                <w:kern w:val="0"/>
                <w:lang w:eastAsia="en-GB"/>
                <w14:ligatures w14:val="none"/>
              </w:rPr>
              <w:t>X</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0C23412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E6C03">
              <w:rPr>
                <w:rFonts w:ascii="Calibri" w:eastAsia="Times New Roman" w:hAnsi="Calibri" w:cs="Calibri"/>
                <w:kern w:val="0"/>
                <w:lang w:eastAsia="en-GB"/>
                <w14:ligatures w14:val="none"/>
              </w:rPr>
              <w:t>X</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0FB1013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1489965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2E4C5F">
              <w:rPr>
                <w:rFonts w:ascii="Calibri" w:eastAsia="Times New Roman" w:hAnsi="Calibri" w:cs="Calibri"/>
                <w:kern w:val="0"/>
                <w:lang w:val="en-US" w:eastAsia="en-GB"/>
                <w14:ligatures w14:val="none"/>
              </w:rPr>
              <w:t>X</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D597A3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E4C5F">
              <w:rPr>
                <w:rFonts w:ascii="Calibri" w:eastAsia="Times New Roman" w:hAnsi="Calibri" w:cs="Calibri"/>
                <w:kern w:val="0"/>
                <w:lang w:eastAsia="en-GB"/>
                <w14:ligatures w14:val="none"/>
              </w:rPr>
              <w:t>X</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1A4E0D9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E4C5F">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656978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B8AA92C" w:rsidR="00047A9C" w:rsidRPr="00CF2E7C" w:rsidRDefault="002E4C5F" w:rsidP="00175FAC">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While not explicitly mentioned in relation to the principle of additionality, the policy tool does require the stipulation of a </w:t>
            </w:r>
            <w:r w:rsidR="00175FAC">
              <w:rPr>
                <w:rFonts w:ascii="Calibri" w:eastAsia="Times New Roman" w:hAnsi="Calibri" w:cs="Calibri"/>
                <w:kern w:val="0"/>
                <w:lang w:eastAsia="en-GB"/>
                <w14:ligatures w14:val="none"/>
              </w:rPr>
              <w:t>‘GHG Business As Usual Baseline’ under Article 11 of the policy tool. According to Article 1(14), this baseline stipulates the predicted emission levels and GHG projections within a certain period of time in the absence of any policy or mitigation technology intervention.</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063ADC6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B1B55">
              <w:rPr>
                <w:rFonts w:ascii="Calibri" w:eastAsia="Times New Roman" w:hAnsi="Calibri" w:cs="Calibri"/>
                <w:kern w:val="0"/>
                <w:lang w:eastAsia="en-GB"/>
                <w14:ligatures w14:val="none"/>
              </w:rPr>
              <w:t>X</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1B266A0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B1B55">
              <w:rPr>
                <w:rFonts w:ascii="Calibri" w:eastAsia="Times New Roman" w:hAnsi="Calibri" w:cs="Calibri"/>
                <w:kern w:val="0"/>
                <w:lang w:eastAsia="en-GB"/>
                <w14:ligatures w14:val="none"/>
              </w:rPr>
              <w:t>X</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33CE4D0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46CA64A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7B1B55">
              <w:rPr>
                <w:rFonts w:ascii="Calibri" w:eastAsia="Times New Roman" w:hAnsi="Calibri" w:cs="Calibri"/>
                <w:kern w:val="0"/>
                <w:lang w:val="en-US" w:eastAsia="en-GB"/>
                <w14:ligatures w14:val="none"/>
              </w:rPr>
              <w:t>X</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1CEBB93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B1B55">
              <w:rPr>
                <w:rFonts w:ascii="Calibri" w:eastAsia="Times New Roman" w:hAnsi="Calibri" w:cs="Calibri"/>
                <w:kern w:val="0"/>
                <w:lang w:eastAsia="en-GB"/>
                <w14:ligatures w14:val="none"/>
              </w:rPr>
              <w:t>X</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56DF6B1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0239B">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1B4FEB8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0239B">
              <w:rPr>
                <w:rFonts w:ascii="Calibri" w:eastAsia="Times New Roman" w:hAnsi="Calibri" w:cs="Calibri"/>
                <w:kern w:val="0"/>
                <w:lang w:eastAsia="en-GB"/>
                <w14:ligatures w14:val="none"/>
              </w:rPr>
              <w:t>X</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640AE41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0239B">
              <w:rPr>
                <w:rFonts w:ascii="Calibri" w:eastAsia="Times New Roman" w:hAnsi="Calibri" w:cs="Calibri"/>
                <w:kern w:val="0"/>
                <w:lang w:eastAsia="en-GB"/>
                <w14:ligatures w14:val="none"/>
              </w:rPr>
              <w:t>X</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10DD4EF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0239B">
              <w:rPr>
                <w:rFonts w:ascii="Calibri" w:eastAsia="Times New Roman" w:hAnsi="Calibri" w:cs="Calibri"/>
                <w:kern w:val="0"/>
                <w:lang w:eastAsia="en-GB"/>
                <w14:ligatures w14:val="none"/>
              </w:rPr>
              <w:t>X</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152A9F2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0239B">
              <w:rPr>
                <w:rFonts w:ascii="Calibri" w:eastAsia="Times New Roman" w:hAnsi="Calibri" w:cs="Calibri"/>
                <w:kern w:val="0"/>
                <w:lang w:eastAsia="en-GB"/>
                <w14:ligatures w14:val="none"/>
              </w:rPr>
              <w:t>X</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1F27D9E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0239B">
              <w:rPr>
                <w:rFonts w:ascii="Calibri" w:eastAsia="Times New Roman" w:hAnsi="Calibri" w:cs="Calibri"/>
                <w:kern w:val="0"/>
                <w:lang w:eastAsia="en-GB"/>
                <w14:ligatures w14:val="none"/>
              </w:rPr>
              <w:t>X</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12FE7728" w:rsidR="00047A9C" w:rsidRPr="00CF2E7C" w:rsidRDefault="00047A9C" w:rsidP="0040239B">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40239B">
              <w:rPr>
                <w:rFonts w:ascii="Calibri" w:eastAsia="Times New Roman" w:hAnsi="Calibri" w:cs="Calibri"/>
                <w:kern w:val="0"/>
                <w:lang w:eastAsia="en-GB"/>
                <w14:ligatures w14:val="none"/>
              </w:rPr>
              <w:t>Article 12 of the policy tool does explicitly require the maintenance of an emissions reduction buffer. However, the express language of the policy tool does not explicitly mention that such obligation arises to address reversal risks.</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2AC7FD7E" w:rsidR="00DD694D" w:rsidRPr="00CF2E7C" w:rsidRDefault="007F23A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0D7026F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F23A6">
              <w:rPr>
                <w:rFonts w:ascii="Calibri" w:eastAsia="Times New Roman" w:hAnsi="Calibri" w:cs="Calibri"/>
                <w:kern w:val="0"/>
                <w:lang w:eastAsia="en-GB"/>
                <w14:ligatures w14:val="none"/>
              </w:rPr>
              <w:t>X</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55549421"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F23A6">
              <w:rPr>
                <w:rFonts w:ascii="Calibri" w:eastAsia="Times New Roman" w:hAnsi="Calibri" w:cs="Calibri"/>
                <w:kern w:val="0"/>
                <w:lang w:eastAsia="en-GB"/>
                <w14:ligatures w14:val="none"/>
              </w:rPr>
              <w:t>X</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28C3892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F23A6">
              <w:rPr>
                <w:rFonts w:ascii="Calibri" w:eastAsia="Times New Roman" w:hAnsi="Calibri" w:cs="Calibri"/>
                <w:kern w:val="0"/>
                <w:lang w:eastAsia="en-GB"/>
                <w14:ligatures w14:val="none"/>
              </w:rPr>
              <w:t>X</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071B53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F23A6">
              <w:rPr>
                <w:rFonts w:ascii="Calibri" w:eastAsia="Times New Roman" w:hAnsi="Calibri" w:cs="Calibri"/>
                <w:kern w:val="0"/>
                <w:lang w:eastAsia="en-GB"/>
                <w14:ligatures w14:val="none"/>
              </w:rPr>
              <w:t>X</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55412E0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F23A6">
              <w:rPr>
                <w:rFonts w:ascii="Calibri" w:eastAsia="Times New Roman" w:hAnsi="Calibri" w:cs="Calibri"/>
                <w:kern w:val="0"/>
                <w:lang w:eastAsia="en-GB"/>
                <w14:ligatures w14:val="none"/>
              </w:rPr>
              <w:t>X</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4090C8B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F23A6">
              <w:rPr>
                <w:rFonts w:ascii="Calibri" w:eastAsia="Times New Roman" w:hAnsi="Calibri" w:cs="Calibri"/>
                <w:kern w:val="0"/>
                <w:lang w:eastAsia="en-GB"/>
                <w14:ligatures w14:val="none"/>
              </w:rPr>
              <w:t>X</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3820B321" w:rsidR="00B87C89" w:rsidRPr="00CF2E7C" w:rsidRDefault="00CD360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13A7F965" w:rsidR="00B87C89" w:rsidRPr="00CF2E7C" w:rsidRDefault="00CD360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1C5B42">
              <w:rPr>
                <w:rFonts w:ascii="Calibri" w:eastAsia="Times New Roman" w:hAnsi="Calibri" w:cs="Calibri"/>
                <w:kern w:val="0"/>
                <w:lang w:eastAsia="en-GB"/>
                <w14:ligatures w14:val="none"/>
              </w:rPr>
              <w:t>X</w:t>
            </w: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4818452" w:rsidR="00B87C89" w:rsidRPr="00CF2E7C" w:rsidRDefault="00693D5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Not specified.</w:t>
            </w: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0A8131F" w:rsidR="002119B6" w:rsidRPr="00CF2E7C" w:rsidRDefault="00CD360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37CC001" w:rsidR="002119B6" w:rsidRPr="00CF2E7C" w:rsidRDefault="00AF632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0EA9744E" w:rsidR="00FE7FA5" w:rsidRPr="00CF2E7C" w:rsidRDefault="00AF632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357D02A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F4EBC">
              <w:rPr>
                <w:rFonts w:ascii="Calibri" w:eastAsia="Times New Roman" w:hAnsi="Calibri" w:cs="Calibri"/>
                <w:kern w:val="0"/>
                <w:lang w:eastAsia="en-GB"/>
                <w14:ligatures w14:val="none"/>
              </w:rPr>
              <w:t>X</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17DC11A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F4EBC">
              <w:rPr>
                <w:rFonts w:ascii="Calibri" w:eastAsia="Times New Roman" w:hAnsi="Calibri" w:cs="Calibri"/>
                <w:kern w:val="0"/>
                <w:lang w:eastAsia="en-GB"/>
                <w14:ligatures w14:val="none"/>
              </w:rPr>
              <w:t>X</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09DB14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F4EBC">
              <w:rPr>
                <w:rFonts w:ascii="Calibri" w:eastAsia="Times New Roman" w:hAnsi="Calibri" w:cs="Calibri"/>
                <w:kern w:val="0"/>
                <w:lang w:eastAsia="en-GB"/>
                <w14:ligatures w14:val="none"/>
              </w:rPr>
              <w:t>X</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6CA6851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F4EBC">
              <w:rPr>
                <w:rFonts w:ascii="Calibri" w:eastAsia="Times New Roman" w:hAnsi="Calibri" w:cs="Calibri"/>
                <w:kern w:val="0"/>
                <w:lang w:eastAsia="en-GB"/>
                <w14:ligatures w14:val="none"/>
              </w:rPr>
              <w:t>X</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4B4CF29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F4EBC">
              <w:rPr>
                <w:rFonts w:ascii="Calibri" w:eastAsia="Times New Roman" w:hAnsi="Calibri" w:cs="Calibri"/>
                <w:kern w:val="0"/>
                <w:lang w:eastAsia="en-GB"/>
                <w14:ligatures w14:val="none"/>
              </w:rPr>
              <w:t>X</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6204457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F4EBC">
              <w:rPr>
                <w:rFonts w:ascii="Calibri" w:eastAsia="Times New Roman" w:hAnsi="Calibri" w:cs="Calibri"/>
                <w:kern w:val="0"/>
                <w:lang w:eastAsia="en-GB"/>
                <w14:ligatures w14:val="none"/>
              </w:rPr>
              <w:t>X</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58EA4E5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F4EBC">
              <w:rPr>
                <w:rFonts w:ascii="Calibri" w:eastAsia="Times New Roman" w:hAnsi="Calibri" w:cs="Calibri"/>
                <w:kern w:val="0"/>
                <w:lang w:eastAsia="en-GB"/>
                <w14:ligatures w14:val="none"/>
              </w:rPr>
              <w:t>X</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2FCCEE9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F4EBC">
              <w:rPr>
                <w:rFonts w:ascii="Calibri" w:eastAsia="Times New Roman" w:hAnsi="Calibri" w:cs="Calibri"/>
                <w:kern w:val="0"/>
                <w:lang w:eastAsia="en-GB"/>
                <w14:ligatures w14:val="none"/>
              </w:rPr>
              <w:t>X</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63EB236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F4EBC">
              <w:rPr>
                <w:rFonts w:ascii="Calibri" w:eastAsia="Times New Roman" w:hAnsi="Calibri" w:cs="Calibri"/>
                <w:kern w:val="0"/>
                <w:lang w:eastAsia="en-GB"/>
                <w14:ligatures w14:val="none"/>
              </w:rPr>
              <w:t>X</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4EB8FD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F4EBC">
              <w:rPr>
                <w:rFonts w:ascii="Calibri" w:eastAsia="Times New Roman" w:hAnsi="Calibri" w:cs="Calibri"/>
                <w:kern w:val="0"/>
                <w:lang w:eastAsia="en-GB"/>
                <w14:ligatures w14:val="none"/>
              </w:rPr>
              <w:t>X</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29CEF51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F4EBC">
              <w:rPr>
                <w:rFonts w:ascii="Calibri" w:eastAsia="Times New Roman" w:hAnsi="Calibri" w:cs="Calibri"/>
                <w:kern w:val="0"/>
                <w:lang w:eastAsia="en-GB"/>
                <w14:ligatures w14:val="none"/>
              </w:rPr>
              <w:t>X</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039E4D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F4EBC">
              <w:rPr>
                <w:rFonts w:ascii="Calibri" w:eastAsia="Times New Roman" w:hAnsi="Calibri" w:cs="Calibri"/>
                <w:kern w:val="0"/>
                <w:lang w:eastAsia="en-GB"/>
                <w14:ligatures w14:val="none"/>
              </w:rPr>
              <w:t>X</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6AFCCF5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F4EBC">
              <w:rPr>
                <w:rFonts w:ascii="Calibri" w:eastAsia="Times New Roman" w:hAnsi="Calibri" w:cs="Calibri"/>
                <w:kern w:val="0"/>
                <w:lang w:eastAsia="en-GB"/>
                <w14:ligatures w14:val="none"/>
              </w:rPr>
              <w:t>X</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FAA39D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F4EBC">
              <w:rPr>
                <w:rFonts w:ascii="Calibri" w:eastAsia="Times New Roman" w:hAnsi="Calibri" w:cs="Calibri"/>
                <w:kern w:val="0"/>
                <w:lang w:eastAsia="en-GB"/>
                <w14:ligatures w14:val="none"/>
              </w:rPr>
              <w:t>X</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407A61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F4EBC">
              <w:rPr>
                <w:rFonts w:ascii="Calibri" w:eastAsia="Times New Roman" w:hAnsi="Calibri" w:cs="Calibri"/>
                <w:kern w:val="0"/>
                <w:lang w:eastAsia="en-GB"/>
                <w14:ligatures w14:val="none"/>
              </w:rPr>
              <w:t>X</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4CF8AAF6" w:rsidR="00FE7FA5" w:rsidRPr="009C4D10" w:rsidRDefault="00A16935"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76FCB6B9" w:rsidR="00FE7FA5" w:rsidRPr="009C4D10" w:rsidRDefault="00A16935"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57FAD636" w:rsidR="00FE7FA5" w:rsidRPr="009C4D10" w:rsidRDefault="00A16935"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24731981" w:rsidR="00FE7FA5" w:rsidRPr="009C4D10" w:rsidRDefault="00A16935"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5C041A55" w:rsidR="00FE7FA5" w:rsidRPr="009C4D10" w:rsidRDefault="00F800D7"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3ECE592A"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w:t>
            </w:r>
            <w:r w:rsidR="00DA39EB">
              <w:rPr>
                <w:rFonts w:eastAsia="Times New Roman" w:cstheme="minorHAnsi"/>
                <w:kern w:val="0"/>
                <w:lang w:eastAsia="en-GB"/>
                <w14:ligatures w14:val="none"/>
              </w:rPr>
              <w:t>T</w:t>
            </w:r>
            <w:r w:rsidRPr="009C4D10">
              <w:rPr>
                <w:rFonts w:eastAsia="Times New Roman" w:cstheme="minorHAnsi"/>
                <w:kern w:val="0"/>
                <w:lang w:eastAsia="en-GB"/>
                <w14:ligatures w14:val="none"/>
              </w:rPr>
              <w:t xml:space="preserve">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46AB7A3C" w:rsidR="00702413" w:rsidRPr="009C4D10" w:rsidRDefault="00691F45"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BA5DD4"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BA5DD4"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D00DEC6" w14:textId="77777777" w:rsidR="00920C97" w:rsidRDefault="00920C97" w:rsidP="00874E39">
      <w:r>
        <w:separator/>
      </w:r>
    </w:p>
  </w:endnote>
  <w:endnote w:type="continuationSeparator" w:id="0">
    <w:p w14:paraId="53C123D1" w14:textId="77777777" w:rsidR="00920C97" w:rsidRDefault="00920C97" w:rsidP="00874E39">
      <w:r>
        <w:continuationSeparator/>
      </w:r>
    </w:p>
  </w:endnote>
  <w:endnote w:type="continuationNotice" w:id="1">
    <w:p w14:paraId="009D1929" w14:textId="77777777" w:rsidR="00920C97" w:rsidRDefault="00920C9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7A1616E" w14:textId="77777777" w:rsidR="00920C97" w:rsidRDefault="00920C97" w:rsidP="00874E39">
      <w:r>
        <w:separator/>
      </w:r>
    </w:p>
  </w:footnote>
  <w:footnote w:type="continuationSeparator" w:id="0">
    <w:p w14:paraId="7ED52A63" w14:textId="77777777" w:rsidR="00920C97" w:rsidRDefault="00920C97" w:rsidP="00874E39">
      <w:r>
        <w:continuationSeparator/>
      </w:r>
    </w:p>
  </w:footnote>
  <w:footnote w:type="continuationNotice" w:id="1">
    <w:p w14:paraId="5E405ECD" w14:textId="77777777" w:rsidR="00920C97" w:rsidRDefault="00920C97"/>
  </w:footnote>
  <w:footnote w:id="2">
    <w:p w14:paraId="15265D64" w14:textId="5C0FC37C" w:rsidR="00362FFF" w:rsidRPr="00362FFF" w:rsidRDefault="00362FFF">
      <w:pPr>
        <w:pStyle w:val="FootnoteText"/>
        <w:rPr>
          <w:lang w:val="en-US"/>
        </w:rPr>
      </w:pPr>
      <w:r>
        <w:rPr>
          <w:rStyle w:val="FootnoteReference"/>
        </w:rPr>
        <w:footnoteRef/>
      </w:r>
      <w:r>
        <w:t xml:space="preserve"> Art. 13(2) of MOEF Reg. 7/2023.</w:t>
      </w:r>
    </w:p>
  </w:footnote>
  <w:footnote w:id="3">
    <w:p w14:paraId="1C6F1407" w14:textId="0B65AE8E" w:rsidR="004F2ACF" w:rsidRPr="004F2ACF" w:rsidRDefault="004F2ACF">
      <w:pPr>
        <w:pStyle w:val="FootnoteText"/>
        <w:rPr>
          <w:lang w:val="en-US"/>
        </w:rPr>
      </w:pPr>
      <w:r>
        <w:rPr>
          <w:rStyle w:val="FootnoteReference"/>
        </w:rPr>
        <w:footnoteRef/>
      </w:r>
      <w:r>
        <w:t xml:space="preserve"> </w:t>
      </w:r>
      <w:r>
        <w:rPr>
          <w:lang w:val="en-US"/>
        </w:rPr>
        <w:t>Article 12 of MOEF Reg. 7/2023.</w:t>
      </w:r>
    </w:p>
  </w:footnote>
  <w:footnote w:id="4">
    <w:p w14:paraId="357931B9" w14:textId="19B7D4CE" w:rsidR="004F2ACF" w:rsidRPr="004F2ACF" w:rsidRDefault="004F2ACF">
      <w:pPr>
        <w:pStyle w:val="FootnoteText"/>
        <w:rPr>
          <w:lang w:val="en-US"/>
        </w:rPr>
      </w:pPr>
      <w:r>
        <w:rPr>
          <w:rStyle w:val="FootnoteReference"/>
        </w:rPr>
        <w:footnoteRef/>
      </w:r>
      <w:r>
        <w:t xml:space="preserve"> </w:t>
      </w:r>
      <w:r>
        <w:rPr>
          <w:lang w:val="en-US"/>
        </w:rPr>
        <w:t>Article 15 of MOEF Reg. 7/2023.</w:t>
      </w:r>
    </w:p>
  </w:footnote>
  <w:footnote w:id="5">
    <w:p w14:paraId="46842F3C" w14:textId="0C61F3F3" w:rsidR="004F2ACF" w:rsidRPr="004F2ACF" w:rsidRDefault="004F2ACF">
      <w:pPr>
        <w:pStyle w:val="FootnoteText"/>
        <w:rPr>
          <w:lang w:val="en-US"/>
        </w:rPr>
      </w:pPr>
      <w:r>
        <w:rPr>
          <w:rStyle w:val="FootnoteReference"/>
        </w:rPr>
        <w:footnoteRef/>
      </w:r>
      <w:r>
        <w:t xml:space="preserve"> </w:t>
      </w:r>
      <w:r>
        <w:rPr>
          <w:lang w:val="en-US"/>
        </w:rPr>
        <w:t>Article 22 of MOEF Reg. 7/2023.</w:t>
      </w:r>
    </w:p>
  </w:footnote>
  <w:footnote w:id="6">
    <w:p w14:paraId="789A3F95" w14:textId="28427D99" w:rsidR="0099014E" w:rsidRPr="0099014E" w:rsidRDefault="0099014E">
      <w:pPr>
        <w:pStyle w:val="FootnoteText"/>
        <w:rPr>
          <w:lang w:val="en-US"/>
        </w:rPr>
      </w:pPr>
      <w:r>
        <w:rPr>
          <w:rStyle w:val="FootnoteReference"/>
        </w:rPr>
        <w:footnoteRef/>
      </w:r>
      <w:r>
        <w:t xml:space="preserve"> </w:t>
      </w:r>
      <w:r>
        <w:rPr>
          <w:lang w:val="en-US"/>
        </w:rPr>
        <w:t>ARTICLE 7(5), (6) and (9) of MOEF Reg. 7/2023.</w:t>
      </w:r>
    </w:p>
  </w:footnote>
  <w:footnote w:id="7">
    <w:p w14:paraId="551D5950" w14:textId="58DFDC93" w:rsidR="00E90BB1" w:rsidRPr="00E90BB1" w:rsidRDefault="00E90BB1">
      <w:pPr>
        <w:pStyle w:val="FootnoteText"/>
        <w:rPr>
          <w:lang w:val="en-US"/>
        </w:rPr>
      </w:pPr>
      <w:r>
        <w:rPr>
          <w:rStyle w:val="FootnoteReference"/>
        </w:rPr>
        <w:footnoteRef/>
      </w:r>
      <w:r>
        <w:t xml:space="preserve"> </w:t>
      </w:r>
      <w:r>
        <w:rPr>
          <w:lang w:val="en-US"/>
        </w:rPr>
        <w:t>Article 7 of MOEF Reg. 7/2023.</w:t>
      </w:r>
    </w:p>
  </w:footnote>
  <w:footnote w:id="8">
    <w:p w14:paraId="0FF4032C" w14:textId="549A2D98" w:rsidR="00E90BB1" w:rsidRPr="00E90BB1" w:rsidRDefault="00E90BB1">
      <w:pPr>
        <w:pStyle w:val="FootnoteText"/>
        <w:rPr>
          <w:lang w:val="en-US"/>
        </w:rPr>
      </w:pPr>
      <w:r>
        <w:rPr>
          <w:rStyle w:val="FootnoteReference"/>
        </w:rPr>
        <w:footnoteRef/>
      </w:r>
      <w:r>
        <w:t xml:space="preserve"> </w:t>
      </w:r>
      <w:r w:rsidR="004A5444">
        <w:rPr>
          <w:lang w:val="en-US"/>
        </w:rPr>
        <w:t>Article 4 of MOEF Reg. 7/2023.</w:t>
      </w:r>
    </w:p>
  </w:footnote>
  <w:footnote w:id="9">
    <w:p w14:paraId="11CE7AC3" w14:textId="5B2B90DC" w:rsidR="00FE1A74" w:rsidRPr="00FE1A74" w:rsidRDefault="00FE1A74">
      <w:pPr>
        <w:pStyle w:val="FootnoteText"/>
        <w:rPr>
          <w:lang w:val="en-US"/>
        </w:rPr>
      </w:pPr>
      <w:r>
        <w:rPr>
          <w:rStyle w:val="FootnoteReference"/>
        </w:rPr>
        <w:footnoteRef/>
      </w:r>
      <w:r>
        <w:t xml:space="preserve"> </w:t>
      </w:r>
      <w:r>
        <w:rPr>
          <w:lang w:val="en-US"/>
        </w:rPr>
        <w:t>See art. 14 and 21 of MOEF Reg. 7/2023.</w:t>
      </w:r>
    </w:p>
  </w:footnote>
  <w:footnote w:id="10">
    <w:p w14:paraId="1E472D15" w14:textId="59428425" w:rsidR="00A15AAC" w:rsidRPr="00A15AAC" w:rsidRDefault="00A15AAC">
      <w:pPr>
        <w:pStyle w:val="FootnoteText"/>
        <w:rPr>
          <w:lang w:val="en-US"/>
        </w:rPr>
      </w:pPr>
      <w:r>
        <w:rPr>
          <w:rStyle w:val="FootnoteReference"/>
        </w:rPr>
        <w:footnoteRef/>
      </w:r>
      <w:r>
        <w:t xml:space="preserve"> </w:t>
      </w:r>
      <w:r>
        <w:rPr>
          <w:lang w:val="en-US"/>
        </w:rPr>
        <w:t>See Art. 101 of MOEF Reg. 12/2024.</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54A0C35"/>
    <w:multiLevelType w:val="hybridMultilevel"/>
    <w:tmpl w:val="F7504CBC"/>
    <w:lvl w:ilvl="0" w:tplc="DAB03872">
      <w:start w:val="1"/>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4"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5"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0FAD1836"/>
    <w:multiLevelType w:val="hybridMultilevel"/>
    <w:tmpl w:val="2048F16A"/>
    <w:lvl w:ilvl="0" w:tplc="418C27DC">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10"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1"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2" w15:restartNumberingAfterBreak="0">
    <w:nsid w:val="1F215A9E"/>
    <w:multiLevelType w:val="hybridMultilevel"/>
    <w:tmpl w:val="AC6C4858"/>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4"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5"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6"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7"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8"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9"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20"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1"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2"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3"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4"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5"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6"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7"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8"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9"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0"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1"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2"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3"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4"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5"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6"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7"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8"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9"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1"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2"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3"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4"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5"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6"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7"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8"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9" w15:restartNumberingAfterBreak="0">
    <w:nsid w:val="7377657F"/>
    <w:multiLevelType w:val="hybridMultilevel"/>
    <w:tmpl w:val="201E801C"/>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1"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52" w15:restartNumberingAfterBreak="0">
    <w:nsid w:val="7A6A10F8"/>
    <w:multiLevelType w:val="hybridMultilevel"/>
    <w:tmpl w:val="EE48D068"/>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15:restartNumberingAfterBreak="0">
    <w:nsid w:val="7B3E414C"/>
    <w:multiLevelType w:val="hybridMultilevel"/>
    <w:tmpl w:val="3F0E4CC6"/>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680666882">
    <w:abstractNumId w:val="19"/>
  </w:num>
  <w:num w:numId="2" w16cid:durableId="482308869">
    <w:abstractNumId w:val="26"/>
  </w:num>
  <w:num w:numId="3" w16cid:durableId="690952733">
    <w:abstractNumId w:val="44"/>
  </w:num>
  <w:num w:numId="4" w16cid:durableId="1689330127">
    <w:abstractNumId w:val="1"/>
  </w:num>
  <w:num w:numId="5" w16cid:durableId="401291788">
    <w:abstractNumId w:val="31"/>
  </w:num>
  <w:num w:numId="6" w16cid:durableId="1276788690">
    <w:abstractNumId w:val="16"/>
  </w:num>
  <w:num w:numId="7" w16cid:durableId="566767730">
    <w:abstractNumId w:val="23"/>
  </w:num>
  <w:num w:numId="8" w16cid:durableId="1780710843">
    <w:abstractNumId w:val="37"/>
  </w:num>
  <w:num w:numId="9" w16cid:durableId="1685783054">
    <w:abstractNumId w:val="4"/>
  </w:num>
  <w:num w:numId="10" w16cid:durableId="950551298">
    <w:abstractNumId w:val="34"/>
  </w:num>
  <w:num w:numId="11" w16cid:durableId="1591960799">
    <w:abstractNumId w:val="51"/>
  </w:num>
  <w:num w:numId="12" w16cid:durableId="1344891410">
    <w:abstractNumId w:val="11"/>
  </w:num>
  <w:num w:numId="13" w16cid:durableId="2023899324">
    <w:abstractNumId w:val="14"/>
  </w:num>
  <w:num w:numId="14" w16cid:durableId="430587014">
    <w:abstractNumId w:val="9"/>
  </w:num>
  <w:num w:numId="15" w16cid:durableId="1742869061">
    <w:abstractNumId w:val="33"/>
  </w:num>
  <w:num w:numId="16" w16cid:durableId="1996450437">
    <w:abstractNumId w:val="22"/>
  </w:num>
  <w:num w:numId="17" w16cid:durableId="1529031027">
    <w:abstractNumId w:val="10"/>
  </w:num>
  <w:num w:numId="18" w16cid:durableId="568614617">
    <w:abstractNumId w:val="20"/>
  </w:num>
  <w:num w:numId="19" w16cid:durableId="1530605858">
    <w:abstractNumId w:val="45"/>
  </w:num>
  <w:num w:numId="20" w16cid:durableId="1328172586">
    <w:abstractNumId w:val="18"/>
  </w:num>
  <w:num w:numId="21" w16cid:durableId="184827816">
    <w:abstractNumId w:val="30"/>
  </w:num>
  <w:num w:numId="22" w16cid:durableId="1785346599">
    <w:abstractNumId w:val="36"/>
  </w:num>
  <w:num w:numId="23" w16cid:durableId="1294288901">
    <w:abstractNumId w:val="29"/>
  </w:num>
  <w:num w:numId="24" w16cid:durableId="1603957975">
    <w:abstractNumId w:val="47"/>
  </w:num>
  <w:num w:numId="25" w16cid:durableId="1659531047">
    <w:abstractNumId w:val="46"/>
  </w:num>
  <w:num w:numId="26" w16cid:durableId="752774403">
    <w:abstractNumId w:val="25"/>
  </w:num>
  <w:num w:numId="27" w16cid:durableId="347872198">
    <w:abstractNumId w:val="7"/>
  </w:num>
  <w:num w:numId="28" w16cid:durableId="537133110">
    <w:abstractNumId w:val="15"/>
  </w:num>
  <w:num w:numId="29" w16cid:durableId="1632318729">
    <w:abstractNumId w:val="48"/>
  </w:num>
  <w:num w:numId="30" w16cid:durableId="1268124074">
    <w:abstractNumId w:val="35"/>
  </w:num>
  <w:num w:numId="31" w16cid:durableId="887108748">
    <w:abstractNumId w:val="32"/>
  </w:num>
  <w:num w:numId="32" w16cid:durableId="1826125712">
    <w:abstractNumId w:val="38"/>
  </w:num>
  <w:num w:numId="33" w16cid:durableId="823357978">
    <w:abstractNumId w:val="42"/>
  </w:num>
  <w:num w:numId="34" w16cid:durableId="1092120443">
    <w:abstractNumId w:val="41"/>
  </w:num>
  <w:num w:numId="35" w16cid:durableId="124861188">
    <w:abstractNumId w:val="13"/>
  </w:num>
  <w:num w:numId="36" w16cid:durableId="1952588250">
    <w:abstractNumId w:val="40"/>
  </w:num>
  <w:num w:numId="37" w16cid:durableId="1712027211">
    <w:abstractNumId w:val="5"/>
  </w:num>
  <w:num w:numId="38" w16cid:durableId="2033795929">
    <w:abstractNumId w:val="3"/>
  </w:num>
  <w:num w:numId="39" w16cid:durableId="1238595582">
    <w:abstractNumId w:val="27"/>
  </w:num>
  <w:num w:numId="40" w16cid:durableId="416558262">
    <w:abstractNumId w:val="24"/>
  </w:num>
  <w:num w:numId="41" w16cid:durableId="1543715517">
    <w:abstractNumId w:val="21"/>
  </w:num>
  <w:num w:numId="42" w16cid:durableId="452208391">
    <w:abstractNumId w:val="17"/>
  </w:num>
  <w:num w:numId="43" w16cid:durableId="260340070">
    <w:abstractNumId w:val="0"/>
  </w:num>
  <w:num w:numId="44" w16cid:durableId="1639914969">
    <w:abstractNumId w:val="6"/>
  </w:num>
  <w:num w:numId="45" w16cid:durableId="1554191892">
    <w:abstractNumId w:val="43"/>
  </w:num>
  <w:num w:numId="46" w16cid:durableId="947811845">
    <w:abstractNumId w:val="50"/>
  </w:num>
  <w:num w:numId="47" w16cid:durableId="342588554">
    <w:abstractNumId w:val="28"/>
  </w:num>
  <w:num w:numId="48" w16cid:durableId="318391343">
    <w:abstractNumId w:val="39"/>
  </w:num>
  <w:num w:numId="49" w16cid:durableId="1221861397">
    <w:abstractNumId w:val="49"/>
  </w:num>
  <w:num w:numId="50" w16cid:durableId="1986350651">
    <w:abstractNumId w:val="2"/>
  </w:num>
  <w:num w:numId="51" w16cid:durableId="1963265721">
    <w:abstractNumId w:val="52"/>
  </w:num>
  <w:num w:numId="52" w16cid:durableId="1168638495">
    <w:abstractNumId w:val="53"/>
  </w:num>
  <w:num w:numId="53" w16cid:durableId="332033027">
    <w:abstractNumId w:val="8"/>
  </w:num>
  <w:num w:numId="54" w16cid:durableId="1142962655">
    <w:abstractNumId w:val="12"/>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A69"/>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5B20"/>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28"/>
    <w:rsid w:val="000607C0"/>
    <w:rsid w:val="000609A8"/>
    <w:rsid w:val="00061CCB"/>
    <w:rsid w:val="00062223"/>
    <w:rsid w:val="00062526"/>
    <w:rsid w:val="000628E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231D"/>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96825"/>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533D"/>
    <w:rsid w:val="001257B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9BF"/>
    <w:rsid w:val="00161D1B"/>
    <w:rsid w:val="00162CC0"/>
    <w:rsid w:val="00164519"/>
    <w:rsid w:val="00172B85"/>
    <w:rsid w:val="00173D7C"/>
    <w:rsid w:val="0017449C"/>
    <w:rsid w:val="001749C3"/>
    <w:rsid w:val="00175FAC"/>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E61"/>
    <w:rsid w:val="001B4FB1"/>
    <w:rsid w:val="001B60DE"/>
    <w:rsid w:val="001C008B"/>
    <w:rsid w:val="001C0769"/>
    <w:rsid w:val="001C239C"/>
    <w:rsid w:val="001C3435"/>
    <w:rsid w:val="001C3966"/>
    <w:rsid w:val="001C4700"/>
    <w:rsid w:val="001C5A18"/>
    <w:rsid w:val="001C5B42"/>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1C1D"/>
    <w:rsid w:val="001F20CA"/>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233"/>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8AE"/>
    <w:rsid w:val="002E1EE8"/>
    <w:rsid w:val="002E2C07"/>
    <w:rsid w:val="002E41E2"/>
    <w:rsid w:val="002E46B9"/>
    <w:rsid w:val="002E4C5F"/>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2643A"/>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2FFF"/>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0BBF"/>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8C1"/>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39B"/>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67CD"/>
    <w:rsid w:val="004474C7"/>
    <w:rsid w:val="00447BB5"/>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44"/>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31"/>
    <w:rsid w:val="004E4F56"/>
    <w:rsid w:val="004E51B5"/>
    <w:rsid w:val="004F0C55"/>
    <w:rsid w:val="004F276F"/>
    <w:rsid w:val="004F2AC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5B38"/>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2562"/>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0C71"/>
    <w:rsid w:val="005923CF"/>
    <w:rsid w:val="00592CDE"/>
    <w:rsid w:val="005938A6"/>
    <w:rsid w:val="00593C2C"/>
    <w:rsid w:val="005946B7"/>
    <w:rsid w:val="00595185"/>
    <w:rsid w:val="0059609B"/>
    <w:rsid w:val="00596289"/>
    <w:rsid w:val="00596CC5"/>
    <w:rsid w:val="0059772D"/>
    <w:rsid w:val="005A03B5"/>
    <w:rsid w:val="005A2023"/>
    <w:rsid w:val="005A270C"/>
    <w:rsid w:val="005A2821"/>
    <w:rsid w:val="005A2900"/>
    <w:rsid w:val="005A2E0C"/>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6918"/>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4890"/>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1F45"/>
    <w:rsid w:val="006936EF"/>
    <w:rsid w:val="00693D5E"/>
    <w:rsid w:val="006943E9"/>
    <w:rsid w:val="00695F64"/>
    <w:rsid w:val="00696548"/>
    <w:rsid w:val="00696D68"/>
    <w:rsid w:val="006A00E0"/>
    <w:rsid w:val="006A103A"/>
    <w:rsid w:val="006A2168"/>
    <w:rsid w:val="006A21C6"/>
    <w:rsid w:val="006A308E"/>
    <w:rsid w:val="006A3518"/>
    <w:rsid w:val="006A39A4"/>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6C03"/>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5618"/>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B55"/>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23A6"/>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5283"/>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491D"/>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54C2"/>
    <w:rsid w:val="00915894"/>
    <w:rsid w:val="00916A78"/>
    <w:rsid w:val="009177A2"/>
    <w:rsid w:val="00917876"/>
    <w:rsid w:val="00920154"/>
    <w:rsid w:val="00920C97"/>
    <w:rsid w:val="00921319"/>
    <w:rsid w:val="00921386"/>
    <w:rsid w:val="00926863"/>
    <w:rsid w:val="00926D7F"/>
    <w:rsid w:val="009307C9"/>
    <w:rsid w:val="0093086E"/>
    <w:rsid w:val="00931681"/>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014E"/>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4FAB"/>
    <w:rsid w:val="00A050A2"/>
    <w:rsid w:val="00A05CFC"/>
    <w:rsid w:val="00A064CE"/>
    <w:rsid w:val="00A0773E"/>
    <w:rsid w:val="00A07FB5"/>
    <w:rsid w:val="00A123CE"/>
    <w:rsid w:val="00A1384B"/>
    <w:rsid w:val="00A14A3D"/>
    <w:rsid w:val="00A14AF3"/>
    <w:rsid w:val="00A14B52"/>
    <w:rsid w:val="00A15AAC"/>
    <w:rsid w:val="00A16935"/>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3C9"/>
    <w:rsid w:val="00A42858"/>
    <w:rsid w:val="00A43199"/>
    <w:rsid w:val="00A43AFC"/>
    <w:rsid w:val="00A445CD"/>
    <w:rsid w:val="00A45776"/>
    <w:rsid w:val="00A46507"/>
    <w:rsid w:val="00A46BEA"/>
    <w:rsid w:val="00A47C6E"/>
    <w:rsid w:val="00A501D9"/>
    <w:rsid w:val="00A503F1"/>
    <w:rsid w:val="00A50B99"/>
    <w:rsid w:val="00A53328"/>
    <w:rsid w:val="00A5358D"/>
    <w:rsid w:val="00A53874"/>
    <w:rsid w:val="00A55B96"/>
    <w:rsid w:val="00A56BE5"/>
    <w:rsid w:val="00A56DE0"/>
    <w:rsid w:val="00A57E93"/>
    <w:rsid w:val="00A60DA8"/>
    <w:rsid w:val="00A6137C"/>
    <w:rsid w:val="00A615A6"/>
    <w:rsid w:val="00A623D0"/>
    <w:rsid w:val="00A631EB"/>
    <w:rsid w:val="00A659BF"/>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6328"/>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5DD4"/>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CC8"/>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74B"/>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394"/>
    <w:rsid w:val="00CA0DAE"/>
    <w:rsid w:val="00CA0E49"/>
    <w:rsid w:val="00CA1535"/>
    <w:rsid w:val="00CA3734"/>
    <w:rsid w:val="00CA5087"/>
    <w:rsid w:val="00CA5215"/>
    <w:rsid w:val="00CA58EE"/>
    <w:rsid w:val="00CA7EEF"/>
    <w:rsid w:val="00CB1649"/>
    <w:rsid w:val="00CB179D"/>
    <w:rsid w:val="00CB296A"/>
    <w:rsid w:val="00CB3E5E"/>
    <w:rsid w:val="00CB4EBD"/>
    <w:rsid w:val="00CB6338"/>
    <w:rsid w:val="00CB76AA"/>
    <w:rsid w:val="00CB790E"/>
    <w:rsid w:val="00CC1407"/>
    <w:rsid w:val="00CC2DFE"/>
    <w:rsid w:val="00CC450D"/>
    <w:rsid w:val="00CC4FFC"/>
    <w:rsid w:val="00CC5328"/>
    <w:rsid w:val="00CC77F9"/>
    <w:rsid w:val="00CC7CC0"/>
    <w:rsid w:val="00CD0735"/>
    <w:rsid w:val="00CD3606"/>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0D24"/>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57F6A"/>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600"/>
    <w:rsid w:val="00D93C78"/>
    <w:rsid w:val="00D94180"/>
    <w:rsid w:val="00D9431B"/>
    <w:rsid w:val="00D95B33"/>
    <w:rsid w:val="00D964E4"/>
    <w:rsid w:val="00D97224"/>
    <w:rsid w:val="00D978E4"/>
    <w:rsid w:val="00DA0910"/>
    <w:rsid w:val="00DA1743"/>
    <w:rsid w:val="00DA1E8C"/>
    <w:rsid w:val="00DA2273"/>
    <w:rsid w:val="00DA39EB"/>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09"/>
    <w:rsid w:val="00DF50B5"/>
    <w:rsid w:val="00DF6212"/>
    <w:rsid w:val="00DF6BF3"/>
    <w:rsid w:val="00DF6C42"/>
    <w:rsid w:val="00DF7242"/>
    <w:rsid w:val="00DF7DE6"/>
    <w:rsid w:val="00E020A8"/>
    <w:rsid w:val="00E02101"/>
    <w:rsid w:val="00E03122"/>
    <w:rsid w:val="00E03A10"/>
    <w:rsid w:val="00E03F7B"/>
    <w:rsid w:val="00E04C04"/>
    <w:rsid w:val="00E054E4"/>
    <w:rsid w:val="00E112B8"/>
    <w:rsid w:val="00E113CA"/>
    <w:rsid w:val="00E11F06"/>
    <w:rsid w:val="00E121D3"/>
    <w:rsid w:val="00E122B2"/>
    <w:rsid w:val="00E12745"/>
    <w:rsid w:val="00E12B4B"/>
    <w:rsid w:val="00E139A9"/>
    <w:rsid w:val="00E1559F"/>
    <w:rsid w:val="00E15B22"/>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006C"/>
    <w:rsid w:val="00E321EB"/>
    <w:rsid w:val="00E32892"/>
    <w:rsid w:val="00E330BA"/>
    <w:rsid w:val="00E33F26"/>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99E"/>
    <w:rsid w:val="00E87F57"/>
    <w:rsid w:val="00E90BB1"/>
    <w:rsid w:val="00E911ED"/>
    <w:rsid w:val="00E91BCF"/>
    <w:rsid w:val="00E9266B"/>
    <w:rsid w:val="00E929F9"/>
    <w:rsid w:val="00E93807"/>
    <w:rsid w:val="00E94905"/>
    <w:rsid w:val="00E95DD6"/>
    <w:rsid w:val="00E969D1"/>
    <w:rsid w:val="00E96BB7"/>
    <w:rsid w:val="00E97C37"/>
    <w:rsid w:val="00E97D2E"/>
    <w:rsid w:val="00EA0025"/>
    <w:rsid w:val="00EA0BA6"/>
    <w:rsid w:val="00EA164F"/>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7DE"/>
    <w:rsid w:val="00ED095F"/>
    <w:rsid w:val="00ED34A7"/>
    <w:rsid w:val="00ED6658"/>
    <w:rsid w:val="00ED6FE1"/>
    <w:rsid w:val="00ED77B0"/>
    <w:rsid w:val="00ED7E12"/>
    <w:rsid w:val="00EE04F1"/>
    <w:rsid w:val="00EE06F3"/>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00D7"/>
    <w:rsid w:val="00F8493A"/>
    <w:rsid w:val="00F86AAC"/>
    <w:rsid w:val="00F86D14"/>
    <w:rsid w:val="00F87001"/>
    <w:rsid w:val="00F87716"/>
    <w:rsid w:val="00F87E26"/>
    <w:rsid w:val="00F909A2"/>
    <w:rsid w:val="00F90B02"/>
    <w:rsid w:val="00F921FF"/>
    <w:rsid w:val="00F92704"/>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1A74"/>
    <w:rsid w:val="00FE20A2"/>
    <w:rsid w:val="00FE2B95"/>
    <w:rsid w:val="00FE2D66"/>
    <w:rsid w:val="00FE2E16"/>
    <w:rsid w:val="00FE3C92"/>
    <w:rsid w:val="00FE3E94"/>
    <w:rsid w:val="00FE3F37"/>
    <w:rsid w:val="00FE40D1"/>
    <w:rsid w:val="00FE42C7"/>
    <w:rsid w:val="00FE4FA5"/>
    <w:rsid w:val="00FE546E"/>
    <w:rsid w:val="00FE592A"/>
    <w:rsid w:val="00FE6453"/>
    <w:rsid w:val="00FE66B1"/>
    <w:rsid w:val="00FE7713"/>
    <w:rsid w:val="00FE7C66"/>
    <w:rsid w:val="00FE7FA5"/>
    <w:rsid w:val="00FE94C6"/>
    <w:rsid w:val="00FF1AB1"/>
    <w:rsid w:val="00FF3644"/>
    <w:rsid w:val="00FF4EBC"/>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78DBD5"/>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2C5351"/>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7CB513"/>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FootnoteText">
    <w:name w:val="footnote text"/>
    <w:basedOn w:val="Normal"/>
    <w:link w:val="FootnoteTextChar"/>
    <w:uiPriority w:val="99"/>
    <w:semiHidden/>
    <w:unhideWhenUsed/>
    <w:rsid w:val="00362FFF"/>
    <w:pPr>
      <w:spacing w:before="0" w:after="0"/>
    </w:pPr>
    <w:rPr>
      <w:sz w:val="20"/>
      <w:szCs w:val="20"/>
    </w:rPr>
  </w:style>
  <w:style w:type="character" w:customStyle="1" w:styleId="FootnoteTextChar">
    <w:name w:val="Footnote Text Char"/>
    <w:basedOn w:val="DefaultParagraphFont"/>
    <w:link w:val="FootnoteText"/>
    <w:uiPriority w:val="99"/>
    <w:semiHidden/>
    <w:rsid w:val="00362FFF"/>
    <w:rPr>
      <w:sz w:val="20"/>
      <w:szCs w:val="20"/>
    </w:rPr>
  </w:style>
  <w:style w:type="character" w:styleId="FootnoteReference">
    <w:name w:val="footnote reference"/>
    <w:basedOn w:val="DefaultParagraphFont"/>
    <w:uiPriority w:val="99"/>
    <w:semiHidden/>
    <w:unhideWhenUsed/>
    <w:rsid w:val="00362FFF"/>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4113526/https://jdih.kukarkab.go.id/produk-hukum/peraturan/peraturan-bupati-kutai-kartanegara-no-17-tahun-2025-tentang-tata-cara-pemberian-persetujuan-lokasi-untuk-kegiatan-perdagangan-karbon-sektor-kehutanan-pada-kawasan-gambut-dan-kawasan-mangrove-yang-berada-di-luar-kawasan-hutan?purpose=unduh"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1345</TotalTime>
  <Pages>113</Pages>
  <Words>23107</Words>
  <Characters>131710</Characters>
  <Application>Microsoft Office Word</Application>
  <DocSecurity>0</DocSecurity>
  <Lines>1097</Lines>
  <Paragraphs>309</Paragraphs>
  <ScaleCrop>false</ScaleCrop>
  <Company/>
  <LinksUpToDate>false</LinksUpToDate>
  <CharactersWithSpaces>154508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SSEK</cp:lastModifiedBy>
  <cp:revision>11</cp:revision>
  <cp:lastPrinted>2025-03-21T00:14:00Z</cp:lastPrinted>
  <dcterms:created xsi:type="dcterms:W3CDTF">2025-07-05T08:09:00Z</dcterms:created>
  <dcterms:modified xsi:type="dcterms:W3CDTF">2025-08-13T11:12:00Z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